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Ansi="Batang"/>
        </w:rPr>
      </w:pPr>
      <w:r>
        <w:rPr>
          <w:rFonts w:hint="eastAsia" w:ascii="黑体" w:hAnsi="黑体" w:eastAsia="黑体" w:cs="黑体"/>
        </w:rPr>
        <w:t>附件</w:t>
      </w:r>
      <w:r>
        <w:rPr>
          <w:rFonts w:hint="eastAsia" w:ascii="黑体" w:hAnsi="黑体" w:eastAsia="黑体" w:cs="黑体"/>
          <w:lang w:val="en-US" w:eastAsia="zh-CN"/>
        </w:rPr>
        <w:t>1</w:t>
      </w:r>
    </w:p>
    <w:p>
      <w:pPr>
        <w:spacing w:line="560" w:lineRule="exact"/>
        <w:jc w:val="center"/>
        <w:rPr>
          <w:rFonts w:ascii="方正小标宋简体" w:hAnsi="宋体" w:eastAsia="方正小标宋简体"/>
          <w:sz w:val="36"/>
          <w:szCs w:val="36"/>
        </w:rPr>
      </w:pPr>
      <w:r>
        <w:rPr>
          <w:rFonts w:hint="eastAsia" w:ascii="方正小标宋简体" w:hAnsi="宋体" w:eastAsia="方正小标宋简体" w:cs="方正小标宋简体"/>
          <w:sz w:val="36"/>
          <w:szCs w:val="36"/>
          <w:lang w:eastAsia="zh-CN"/>
        </w:rPr>
        <w:t>巴彦淖尔市</w:t>
      </w:r>
      <w:r>
        <w:rPr>
          <w:rFonts w:hint="eastAsia" w:ascii="方正小标宋简体" w:hAnsi="宋体" w:eastAsia="方正小标宋简体" w:cs="方正小标宋简体"/>
          <w:sz w:val="36"/>
          <w:szCs w:val="36"/>
        </w:rPr>
        <w:t>地方标准项目建议书</w:t>
      </w:r>
    </w:p>
    <w:tbl>
      <w:tblPr>
        <w:tblStyle w:val="4"/>
        <w:tblW w:w="924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7"/>
        <w:gridCol w:w="1087"/>
        <w:gridCol w:w="1050"/>
        <w:gridCol w:w="113"/>
        <w:gridCol w:w="837"/>
        <w:gridCol w:w="1786"/>
        <w:gridCol w:w="732"/>
        <w:gridCol w:w="1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20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pacing w:val="-10"/>
                <w:sz w:val="24"/>
              </w:rPr>
            </w:pPr>
            <w:r>
              <w:rPr>
                <w:rFonts w:hint="eastAsia" w:ascii="仿宋_GB2312" w:hAnsi="仿宋" w:eastAsia="仿宋_GB2312" w:cs="仿宋"/>
                <w:spacing w:val="-10"/>
                <w:sz w:val="24"/>
              </w:rPr>
              <w:t>项目名称（中文）</w:t>
            </w:r>
          </w:p>
        </w:tc>
        <w:tc>
          <w:tcPr>
            <w:tcW w:w="7183" w:type="dxa"/>
            <w:gridSpan w:val="7"/>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仿宋" w:eastAsia="仿宋_GB2312"/>
                <w:sz w:val="24"/>
                <w:lang w:eastAsia="zh-CN"/>
              </w:rPr>
            </w:pPr>
            <w:r>
              <w:rPr>
                <w:rFonts w:hint="eastAsia" w:hAnsi="仿宋"/>
                <w:sz w:val="24"/>
                <w:lang w:eastAsia="zh-CN"/>
              </w:rPr>
              <w:t>企业首席质量官制度实施指南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20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pacing w:val="-10"/>
                <w:sz w:val="24"/>
              </w:rPr>
            </w:pPr>
            <w:r>
              <w:rPr>
                <w:rFonts w:hint="eastAsia" w:ascii="仿宋_GB2312" w:hAnsi="仿宋" w:eastAsia="仿宋_GB2312" w:cs="仿宋"/>
                <w:spacing w:val="-10"/>
                <w:sz w:val="24"/>
              </w:rPr>
              <w:t>项目名称（英文）</w:t>
            </w:r>
          </w:p>
        </w:tc>
        <w:tc>
          <w:tcPr>
            <w:tcW w:w="7183" w:type="dxa"/>
            <w:gridSpan w:val="7"/>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sz w:val="24"/>
              </w:rPr>
              <w:t>Guidelines for the Implementation of the Chief Quality Officer System in Enterprises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trPr>
        <w:tc>
          <w:tcPr>
            <w:tcW w:w="20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cs="仿宋"/>
                <w:sz w:val="24"/>
              </w:rPr>
              <w:t>制定或修订</w:t>
            </w:r>
          </w:p>
        </w:tc>
        <w:tc>
          <w:tcPr>
            <w:tcW w:w="3087"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hAnsi="仿宋" w:cs="仿宋"/>
                <w:sz w:val="24"/>
                <w:lang w:eastAsia="zh-CN"/>
              </w:rPr>
              <w:t>☑</w:t>
            </w:r>
            <w:r>
              <w:rPr>
                <w:rFonts w:hint="eastAsia" w:ascii="仿宋_GB2312" w:hAnsi="仿宋" w:eastAsia="仿宋_GB2312" w:cs="仿宋"/>
                <w:sz w:val="24"/>
              </w:rPr>
              <w:t>制定  □修订</w:t>
            </w:r>
          </w:p>
        </w:tc>
        <w:tc>
          <w:tcPr>
            <w:tcW w:w="178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cs="仿宋"/>
                <w:sz w:val="24"/>
              </w:rPr>
              <w:t>被修订标准号</w:t>
            </w:r>
          </w:p>
        </w:tc>
        <w:tc>
          <w:tcPr>
            <w:tcW w:w="231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9" w:hRule="atLeast"/>
        </w:trPr>
        <w:tc>
          <w:tcPr>
            <w:tcW w:w="20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cs="仿宋"/>
                <w:sz w:val="24"/>
              </w:rPr>
              <w:t>计划起始时间</w:t>
            </w:r>
          </w:p>
        </w:tc>
        <w:tc>
          <w:tcPr>
            <w:tcW w:w="3087"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ind w:firstLine="680" w:firstLineChars="270"/>
              <w:jc w:val="center"/>
              <w:rPr>
                <w:rFonts w:ascii="仿宋_GB2312" w:hAnsi="仿宋" w:eastAsia="仿宋_GB2312"/>
                <w:sz w:val="24"/>
              </w:rPr>
            </w:pPr>
          </w:p>
        </w:tc>
        <w:tc>
          <w:tcPr>
            <w:tcW w:w="178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cs="仿宋"/>
                <w:sz w:val="24"/>
              </w:rPr>
              <w:t>完成年限</w:t>
            </w:r>
          </w:p>
        </w:tc>
        <w:tc>
          <w:tcPr>
            <w:tcW w:w="231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9" w:hRule="atLeast"/>
        </w:trPr>
        <w:tc>
          <w:tcPr>
            <w:tcW w:w="20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cs="仿宋"/>
                <w:sz w:val="24"/>
              </w:rPr>
              <w:t>涉及领域</w:t>
            </w:r>
          </w:p>
        </w:tc>
        <w:tc>
          <w:tcPr>
            <w:tcW w:w="7183" w:type="dxa"/>
            <w:gridSpan w:val="7"/>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cs="仿宋"/>
                <w:sz w:val="24"/>
              </w:rPr>
              <w:t xml:space="preserve">□工业    □农业    □服务业    </w:t>
            </w:r>
            <w:r>
              <w:rPr>
                <w:rFonts w:hint="eastAsia" w:hAnsi="仿宋" w:cs="仿宋"/>
                <w:sz w:val="24"/>
                <w:lang w:eastAsia="zh-CN"/>
              </w:rPr>
              <w:t>☑</w:t>
            </w:r>
            <w:r>
              <w:rPr>
                <w:rFonts w:hint="eastAsia" w:ascii="仿宋_GB2312" w:hAnsi="仿宋" w:eastAsia="仿宋_GB2312" w:cs="仿宋"/>
                <w:sz w:val="24"/>
              </w:rPr>
              <w:t>社会管理和公共服务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7" w:hRule="atLeast"/>
        </w:trPr>
        <w:tc>
          <w:tcPr>
            <w:tcW w:w="20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cs="仿宋"/>
                <w:sz w:val="24"/>
              </w:rPr>
              <w:t>标准性质</w:t>
            </w:r>
          </w:p>
        </w:tc>
        <w:tc>
          <w:tcPr>
            <w:tcW w:w="7183" w:type="dxa"/>
            <w:gridSpan w:val="7"/>
            <w:tcBorders>
              <w:top w:val="single" w:color="auto" w:sz="4" w:space="0"/>
              <w:left w:val="single" w:color="auto" w:sz="4" w:space="0"/>
              <w:bottom w:val="single" w:color="auto" w:sz="4" w:space="0"/>
              <w:right w:val="single" w:color="auto" w:sz="4" w:space="0"/>
            </w:tcBorders>
            <w:vAlign w:val="center"/>
          </w:tcPr>
          <w:p>
            <w:pPr>
              <w:spacing w:line="440" w:lineRule="exact"/>
              <w:ind w:left="1545"/>
              <w:rPr>
                <w:rFonts w:ascii="仿宋_GB2312" w:hAnsi="仿宋" w:eastAsia="仿宋_GB2312"/>
                <w:b/>
                <w:sz w:val="24"/>
              </w:rPr>
            </w:pPr>
            <w:r>
              <w:rPr>
                <w:rFonts w:hint="eastAsia" w:ascii="仿宋_GB2312" w:hAnsi="仿宋" w:eastAsia="仿宋_GB2312" w:cs="仿宋"/>
                <w:b/>
                <w:sz w:val="24"/>
              </w:rPr>
              <w:t>推荐性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9" w:hRule="atLeast"/>
        </w:trPr>
        <w:tc>
          <w:tcPr>
            <w:tcW w:w="2057"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cs="仿宋"/>
                <w:sz w:val="24"/>
              </w:rPr>
              <w:t>采用国际标准情况</w:t>
            </w:r>
          </w:p>
        </w:tc>
        <w:tc>
          <w:tcPr>
            <w:tcW w:w="225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cs="仿宋"/>
                <w:sz w:val="24"/>
              </w:rPr>
              <w:t>采用程度</w:t>
            </w:r>
          </w:p>
        </w:tc>
        <w:tc>
          <w:tcPr>
            <w:tcW w:w="4933"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cs="仿宋"/>
                <w:sz w:val="24"/>
              </w:rPr>
              <w:t>□等同 □修改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9" w:hRule="atLeast"/>
        </w:trPr>
        <w:tc>
          <w:tcPr>
            <w:tcW w:w="20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 w:eastAsia="仿宋_GB2312"/>
                <w:sz w:val="24"/>
              </w:rPr>
            </w:pPr>
          </w:p>
        </w:tc>
        <w:tc>
          <w:tcPr>
            <w:tcW w:w="225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cs="仿宋"/>
                <w:sz w:val="24"/>
              </w:rPr>
              <w:t>采用何种标准</w:t>
            </w:r>
          </w:p>
        </w:tc>
        <w:tc>
          <w:tcPr>
            <w:tcW w:w="4933"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cs="仿宋"/>
                <w:sz w:val="24"/>
              </w:rPr>
              <w:t>□ISO □IEC □ITU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6" w:hRule="atLeast"/>
        </w:trPr>
        <w:tc>
          <w:tcPr>
            <w:tcW w:w="20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 w:eastAsia="仿宋_GB2312"/>
                <w:sz w:val="24"/>
              </w:rPr>
            </w:pPr>
          </w:p>
        </w:tc>
        <w:tc>
          <w:tcPr>
            <w:tcW w:w="225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cs="仿宋"/>
                <w:sz w:val="24"/>
              </w:rPr>
              <w:t>采用国际标准号</w:t>
            </w:r>
          </w:p>
        </w:tc>
        <w:tc>
          <w:tcPr>
            <w:tcW w:w="4933"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9" w:hRule="atLeast"/>
        </w:trPr>
        <w:tc>
          <w:tcPr>
            <w:tcW w:w="20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 w:eastAsia="仿宋_GB2312"/>
                <w:sz w:val="24"/>
              </w:rPr>
            </w:pPr>
          </w:p>
        </w:tc>
        <w:tc>
          <w:tcPr>
            <w:tcW w:w="225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cs="仿宋"/>
                <w:sz w:val="24"/>
              </w:rPr>
              <w:t>采用国际标准名称</w:t>
            </w:r>
          </w:p>
        </w:tc>
        <w:tc>
          <w:tcPr>
            <w:tcW w:w="4933"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5" w:hRule="atLeast"/>
        </w:trPr>
        <w:tc>
          <w:tcPr>
            <w:tcW w:w="20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cs="仿宋"/>
                <w:sz w:val="24"/>
              </w:rPr>
              <w:t>提出单位</w:t>
            </w:r>
          </w:p>
        </w:tc>
        <w:tc>
          <w:tcPr>
            <w:tcW w:w="7183" w:type="dxa"/>
            <w:gridSpan w:val="7"/>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仿宋" w:eastAsia="仿宋_GB2312"/>
                <w:sz w:val="24"/>
                <w:lang w:val="en-US" w:eastAsia="zh-CN"/>
              </w:rPr>
            </w:pPr>
            <w:r>
              <w:rPr>
                <w:rFonts w:hint="eastAsia" w:hAnsi="仿宋"/>
                <w:sz w:val="24"/>
                <w:lang w:val="en-US" w:eastAsia="zh-CN"/>
              </w:rPr>
              <w:t>巴彦淖尔市产品质量计量检测中心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05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rPr>
            </w:pPr>
            <w:r>
              <w:rPr>
                <w:rFonts w:hint="eastAsia" w:ascii="仿宋_GB2312" w:hAnsi="仿宋" w:eastAsia="仿宋_GB2312" w:cs="仿宋"/>
                <w:sz w:val="24"/>
              </w:rPr>
              <w:t>项目负责人</w:t>
            </w:r>
          </w:p>
        </w:tc>
        <w:tc>
          <w:tcPr>
            <w:tcW w:w="108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仿宋_GB2312" w:hAnsi="仿宋" w:eastAsia="仿宋_GB2312"/>
                <w:sz w:val="24"/>
                <w:highlight w:val="none"/>
                <w:lang w:val="en-US" w:eastAsia="zh-CN"/>
              </w:rPr>
            </w:pPr>
            <w:r>
              <w:rPr>
                <w:rFonts w:hint="eastAsia" w:hAnsi="仿宋"/>
                <w:sz w:val="24"/>
                <w:highlight w:val="none"/>
                <w:lang w:val="en-US" w:eastAsia="zh-CN"/>
              </w:rPr>
              <w:t>李昊佼</w:t>
            </w:r>
          </w:p>
        </w:tc>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highlight w:val="none"/>
              </w:rPr>
            </w:pPr>
            <w:r>
              <w:rPr>
                <w:rFonts w:hint="eastAsia" w:ascii="仿宋_GB2312" w:hAnsi="仿宋" w:eastAsia="仿宋_GB2312" w:cs="仿宋"/>
                <w:sz w:val="24"/>
                <w:highlight w:val="none"/>
              </w:rPr>
              <w:t>联系人</w:t>
            </w:r>
          </w:p>
        </w:tc>
        <w:tc>
          <w:tcPr>
            <w:tcW w:w="273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仿宋_GB2312" w:hAnsi="仿宋" w:eastAsia="仿宋_GB2312"/>
                <w:sz w:val="24"/>
                <w:highlight w:val="none"/>
                <w:lang w:val="en-US" w:eastAsia="zh-CN"/>
              </w:rPr>
            </w:pPr>
            <w:r>
              <w:rPr>
                <w:rFonts w:hint="eastAsia" w:hAnsi="仿宋"/>
                <w:sz w:val="24"/>
                <w:highlight w:val="none"/>
                <w:lang w:val="en-US" w:eastAsia="zh-CN"/>
              </w:rPr>
              <w:t>赵强</w:t>
            </w:r>
          </w:p>
        </w:tc>
        <w:tc>
          <w:tcPr>
            <w:tcW w:w="73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sz w:val="24"/>
                <w:highlight w:val="none"/>
              </w:rPr>
            </w:pPr>
            <w:r>
              <w:rPr>
                <w:rFonts w:hint="eastAsia" w:ascii="仿宋_GB2312" w:hAnsi="仿宋" w:eastAsia="仿宋_GB2312" w:cs="仿宋"/>
                <w:sz w:val="24"/>
                <w:highlight w:val="none"/>
              </w:rPr>
              <w:t>电话</w:t>
            </w:r>
          </w:p>
        </w:tc>
        <w:tc>
          <w:tcPr>
            <w:tcW w:w="157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仿宋_GB2312" w:hAnsi="仿宋" w:eastAsia="仿宋_GB2312"/>
                <w:sz w:val="24"/>
                <w:highlight w:val="none"/>
                <w:lang w:val="en-US" w:eastAsia="zh-CN"/>
              </w:rPr>
            </w:pPr>
            <w:bookmarkStart w:id="0" w:name="_GoBack"/>
            <w:r>
              <w:rPr>
                <w:rFonts w:hint="eastAsia" w:hAnsi="仿宋"/>
                <w:sz w:val="24"/>
                <w:highlight w:val="none"/>
                <w:lang w:val="en-US" w:eastAsia="zh-CN"/>
              </w:rPr>
              <w:t>8267907</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057" w:type="dxa"/>
            <w:tcBorders>
              <w:top w:val="single" w:color="auto" w:sz="4" w:space="0"/>
              <w:left w:val="single" w:color="auto" w:sz="4" w:space="0"/>
              <w:bottom w:val="single" w:color="auto" w:sz="4" w:space="0"/>
              <w:right w:val="single" w:color="auto" w:sz="4" w:space="0"/>
            </w:tcBorders>
            <w:vAlign w:val="center"/>
          </w:tcPr>
          <w:p>
            <w:pPr>
              <w:spacing w:line="440" w:lineRule="exact"/>
              <w:ind w:right="-7"/>
              <w:rPr>
                <w:rFonts w:ascii="仿宋_GB2312" w:hAnsi="仿宋" w:eastAsia="仿宋_GB2312"/>
                <w:sz w:val="24"/>
              </w:rPr>
            </w:pPr>
            <w:r>
              <w:rPr>
                <w:rFonts w:hint="eastAsia" w:ascii="仿宋_GB2312" w:hAnsi="仿宋" w:eastAsia="仿宋_GB2312" w:cs="仿宋"/>
                <w:sz w:val="24"/>
              </w:rPr>
              <w:t>联系地址及邮箱</w:t>
            </w:r>
          </w:p>
        </w:tc>
        <w:tc>
          <w:tcPr>
            <w:tcW w:w="7183" w:type="dxa"/>
            <w:gridSpan w:val="7"/>
            <w:tcBorders>
              <w:top w:val="single" w:color="auto" w:sz="4" w:space="0"/>
              <w:left w:val="single" w:color="auto" w:sz="4" w:space="0"/>
              <w:bottom w:val="single" w:color="auto" w:sz="4" w:space="0"/>
              <w:right w:val="single" w:color="auto" w:sz="4" w:space="0"/>
            </w:tcBorders>
            <w:vAlign w:val="center"/>
          </w:tcPr>
          <w:p>
            <w:pPr>
              <w:spacing w:line="440" w:lineRule="exact"/>
              <w:ind w:hanging="858"/>
              <w:jc w:val="center"/>
              <w:rPr>
                <w:rFonts w:ascii="仿宋_GB2312" w:hAnsi="仿宋" w:eastAsia="仿宋_GB2312"/>
                <w:sz w:val="24"/>
                <w:highlight w:val="none"/>
              </w:rPr>
            </w:pPr>
            <w:r>
              <w:rPr>
                <w:rFonts w:hint="eastAsia" w:ascii="仿宋_GB2312" w:hAnsi="仿宋" w:eastAsia="仿宋_GB2312"/>
                <w:sz w:val="24"/>
                <w:highlight w:val="none"/>
              </w:rPr>
              <w:t>巴彦淖尔市临河区开源路民主街9号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0" w:hRule="atLeast"/>
        </w:trPr>
        <w:tc>
          <w:tcPr>
            <w:tcW w:w="9240" w:type="dxa"/>
            <w:gridSpan w:val="8"/>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仿宋_GB2312" w:hAnsi="仿宋" w:eastAsia="仿宋_GB2312" w:cs="仿宋"/>
                <w:sz w:val="24"/>
                <w:szCs w:val="24"/>
              </w:rPr>
            </w:pPr>
            <w:r>
              <w:rPr>
                <w:rFonts w:hint="eastAsia" w:ascii="仿宋_GB2312" w:hAnsi="仿宋" w:eastAsia="仿宋_GB2312" w:cs="仿宋"/>
                <w:sz w:val="24"/>
                <w:szCs w:val="24"/>
              </w:rPr>
              <w:t>必要性分析（800字以上）</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504" w:firstLineChars="200"/>
              <w:textAlignment w:val="auto"/>
              <w:rPr>
                <w:rFonts w:ascii="仿宋_GB2312" w:hAnsi="仿宋" w:eastAsia="仿宋_GB2312"/>
                <w:sz w:val="24"/>
                <w:szCs w:val="24"/>
              </w:rPr>
            </w:pPr>
            <w:r>
              <w:rPr>
                <w:rFonts w:hint="eastAsia" w:ascii="仿宋_GB2312" w:hAnsi="仿宋" w:eastAsia="仿宋_GB2312" w:cs="仿宋"/>
                <w:sz w:val="24"/>
                <w:szCs w:val="24"/>
              </w:rPr>
              <w:t>首席质量官是企业中负责质量管理工作的最高领导，</w:t>
            </w:r>
            <w:r>
              <w:rPr>
                <w:rFonts w:hint="eastAsia" w:hAnsi="仿宋" w:cs="仿宋"/>
                <w:sz w:val="24"/>
                <w:szCs w:val="24"/>
                <w:lang w:val="en-US" w:eastAsia="zh-CN"/>
              </w:rPr>
              <w:t>是企业质量管理提升的重要抓手。企业首席质量官的设立将会帮助企业</w:t>
            </w:r>
            <w:r>
              <w:rPr>
                <w:rFonts w:hint="default" w:ascii="仿宋_GB2312" w:hAnsi="仿宋" w:eastAsia="仿宋_GB2312" w:cs="仿宋"/>
                <w:sz w:val="24"/>
                <w:szCs w:val="24"/>
              </w:rPr>
              <w:t>强化质量管理意识</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rPr>
              <w:t>优化质量管理体系</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rPr>
              <w:t>提升产品质量竞争力</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rPr>
              <w:t>增强企业品牌形象</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rPr>
              <w:t>引领质量管理方向</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rPr>
              <w:t>协调各部门之间的质量管理活动</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rPr>
              <w:t>建立高效的质量管理团队</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lang w:val="en-US" w:eastAsia="zh-CN"/>
              </w:rPr>
              <w:t>也是企业</w:t>
            </w:r>
            <w:r>
              <w:rPr>
                <w:rFonts w:hint="eastAsia" w:ascii="仿宋_GB2312" w:hAnsi="仿宋" w:eastAsia="仿宋_GB2312" w:cs="仿宋"/>
                <w:sz w:val="24"/>
                <w:szCs w:val="24"/>
              </w:rPr>
              <w:t>市场竞争</w:t>
            </w:r>
            <w:r>
              <w:rPr>
                <w:rFonts w:hint="eastAsia" w:ascii="仿宋_GB2312" w:hAnsi="仿宋" w:eastAsia="仿宋_GB2312" w:cs="仿宋"/>
                <w:sz w:val="24"/>
                <w:szCs w:val="24"/>
                <w:lang w:val="en-US" w:eastAsia="zh-CN"/>
              </w:rPr>
              <w:t>的需要</w:t>
            </w:r>
            <w:r>
              <w:rPr>
                <w:rFonts w:hint="eastAsia" w:ascii="仿宋_GB2312" w:hAnsi="仿宋" w:eastAsia="仿宋_GB2312" w:cs="仿宋"/>
                <w:sz w:val="24"/>
                <w:szCs w:val="24"/>
                <w:lang w:eastAsia="zh-CN"/>
              </w:rPr>
              <w:t>、</w:t>
            </w:r>
            <w:r>
              <w:rPr>
                <w:rFonts w:hint="eastAsia" w:hAnsi="仿宋" w:cs="仿宋"/>
                <w:sz w:val="24"/>
                <w:szCs w:val="24"/>
                <w:lang w:val="en-US" w:eastAsia="zh-CN"/>
              </w:rPr>
              <w:t>对</w:t>
            </w:r>
            <w:r>
              <w:rPr>
                <w:rFonts w:hint="eastAsia" w:ascii="仿宋_GB2312" w:hAnsi="仿宋" w:eastAsia="仿宋_GB2312" w:cs="仿宋"/>
                <w:sz w:val="24"/>
                <w:szCs w:val="24"/>
              </w:rPr>
              <w:t>消费者对质量的关注</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rPr>
              <w:t>可持续发展的需要</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lang w:val="en-US" w:eastAsia="zh-CN"/>
              </w:rPr>
              <w:t>首席质量官制度建设，是深入贯彻落实《质量强国建设纲要》关于“健全企业首席质量官制度”的部署要求，充分发挥首席质量官在质量管理、质量发展、质量创新等方面的关键核心作用，全力推进首席质量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24" w:hRule="atLeast"/>
        </w:trPr>
        <w:tc>
          <w:tcPr>
            <w:tcW w:w="9240" w:type="dxa"/>
            <w:gridSpan w:val="8"/>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仿宋_GB2312" w:hAnsi="仿宋" w:eastAsia="仿宋_GB2312" w:cs="仿宋"/>
                <w:sz w:val="24"/>
                <w:szCs w:val="24"/>
                <w:lang w:val="en-US" w:eastAsia="zh-CN"/>
              </w:rPr>
            </w:pPr>
            <w:r>
              <w:rPr>
                <w:rFonts w:hint="eastAsia" w:ascii="仿宋_GB2312" w:hAnsi="仿宋" w:eastAsia="仿宋_GB2312" w:cs="仿宋"/>
                <w:sz w:val="24"/>
                <w:szCs w:val="24"/>
                <w:lang w:val="en-US" w:eastAsia="zh-CN"/>
              </w:rPr>
              <w:t>官制度</w:t>
            </w:r>
            <w:r>
              <w:rPr>
                <w:rFonts w:hint="eastAsia" w:hAnsi="仿宋" w:cs="仿宋"/>
                <w:sz w:val="24"/>
                <w:szCs w:val="24"/>
                <w:lang w:val="en-US" w:eastAsia="zh-CN"/>
              </w:rPr>
              <w:t>实施</w:t>
            </w:r>
            <w:r>
              <w:rPr>
                <w:rFonts w:hint="eastAsia" w:ascii="仿宋_GB2312" w:hAnsi="仿宋" w:eastAsia="仿宋_GB2312" w:cs="仿宋"/>
                <w:sz w:val="24"/>
                <w:szCs w:val="24"/>
                <w:lang w:val="en-US" w:eastAsia="zh-CN"/>
              </w:rPr>
              <w:t>的重要举措，是新时代推动产业建圈强链、促进区域协调发展的重要基础。</w:t>
            </w:r>
          </w:p>
          <w:p>
            <w:pPr>
              <w:keepNext w:val="0"/>
              <w:keepLines w:val="0"/>
              <w:pageBreakBefore w:val="0"/>
              <w:kinsoku/>
              <w:wordWrap/>
              <w:overflowPunct/>
              <w:topLinePunct w:val="0"/>
              <w:autoSpaceDE/>
              <w:autoSpaceDN/>
              <w:bidi w:val="0"/>
              <w:adjustRightInd/>
              <w:snapToGrid/>
              <w:spacing w:line="590" w:lineRule="exact"/>
              <w:ind w:left="0" w:leftChars="0" w:firstLine="504" w:firstLineChars="200"/>
              <w:textAlignment w:val="auto"/>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国家高度重视首席质量官制度推进工作，早在2012年《国务院办公厅关于印发贯彻实施质量发展纲要2012年行动计划的通知》（国办发〔2012〕27号）中就要求“在部分大中型企业率先试行首席质量官”，同年原国家质量监督检验检疫总局在全国开展企业首席质量官制度试点工作，鼓励和引导企业设立首席质量官。2023年2月，中共中央、国务院印发《质量强国建设纲要》，明确要求“健全企业首席质量官制度”。</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504" w:firstLineChars="200"/>
              <w:textAlignment w:val="auto"/>
              <w:rPr>
                <w:rFonts w:hint="eastAsia" w:ascii="仿宋_GB2312" w:hAnsi="仿宋" w:eastAsia="仿宋_GB2312" w:cs="仿宋"/>
                <w:sz w:val="24"/>
                <w:szCs w:val="24"/>
                <w:lang w:val="en-US" w:eastAsia="zh-CN"/>
              </w:rPr>
            </w:pPr>
            <w:r>
              <w:rPr>
                <w:rFonts w:hint="eastAsia" w:hAnsi="仿宋" w:cs="仿宋"/>
                <w:sz w:val="24"/>
                <w:szCs w:val="24"/>
                <w:lang w:val="en-US" w:eastAsia="zh-CN"/>
              </w:rPr>
              <w:t>近年来，</w:t>
            </w:r>
            <w:r>
              <w:rPr>
                <w:rFonts w:hint="eastAsia" w:ascii="仿宋_GB2312" w:hAnsi="仿宋" w:eastAsia="仿宋_GB2312" w:cs="仿宋"/>
                <w:sz w:val="24"/>
                <w:szCs w:val="24"/>
                <w:lang w:val="en-US" w:eastAsia="zh-CN"/>
              </w:rPr>
              <w:t>巴彦淖尔市</w:t>
            </w:r>
            <w:r>
              <w:rPr>
                <w:rFonts w:hint="eastAsia" w:ascii="仿宋_GB2312" w:hAnsi="仿宋" w:eastAsia="仿宋_GB2312" w:cs="仿宋"/>
                <w:sz w:val="24"/>
                <w:szCs w:val="24"/>
              </w:rPr>
              <w:t>深入贯彻党中央、国务院开展质量提升行动</w:t>
            </w:r>
            <w:r>
              <w:rPr>
                <w:rFonts w:hint="eastAsia" w:ascii="仿宋_GB2312" w:hAnsi="仿宋" w:eastAsia="仿宋_GB2312" w:cs="仿宋"/>
                <w:sz w:val="24"/>
                <w:szCs w:val="24"/>
                <w:lang w:eastAsia="zh-CN"/>
              </w:rPr>
              <w:t>、建</w:t>
            </w:r>
            <w:r>
              <w:rPr>
                <w:rFonts w:hint="eastAsia" w:ascii="仿宋_GB2312" w:hAnsi="仿宋" w:eastAsia="仿宋_GB2312" w:cs="仿宋"/>
                <w:sz w:val="24"/>
                <w:szCs w:val="24"/>
              </w:rPr>
              <w:t>设质量强国的决策部署，积极推进实施企业首席质量官制度</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rPr>
              <w:t>积极探索以多种形式推动开展首席质量官制度的试点建设、人才培育等工作，取得了良好的社会效应和经济效益。目前，</w:t>
            </w:r>
            <w:r>
              <w:rPr>
                <w:rFonts w:hint="eastAsia" w:ascii="仿宋_GB2312" w:hAnsi="仿宋" w:eastAsia="仿宋_GB2312" w:cs="仿宋"/>
                <w:sz w:val="24"/>
                <w:szCs w:val="24"/>
                <w:lang w:val="en-US" w:eastAsia="zh-CN"/>
              </w:rPr>
              <w:t>全市</w:t>
            </w:r>
            <w:r>
              <w:rPr>
                <w:rFonts w:hint="eastAsia" w:ascii="仿宋_GB2312" w:hAnsi="仿宋" w:eastAsia="仿宋_GB2312" w:cs="仿宋"/>
                <w:sz w:val="24"/>
                <w:szCs w:val="24"/>
              </w:rPr>
              <w:t>已有</w:t>
            </w:r>
            <w:r>
              <w:rPr>
                <w:rFonts w:hint="eastAsia" w:ascii="仿宋_GB2312" w:hAnsi="仿宋" w:eastAsia="仿宋_GB2312" w:cs="仿宋"/>
                <w:sz w:val="24"/>
                <w:szCs w:val="24"/>
                <w:lang w:val="en-US" w:eastAsia="zh-CN"/>
              </w:rPr>
              <w:t>200多家</w:t>
            </w:r>
            <w:r>
              <w:rPr>
                <w:rFonts w:hint="eastAsia" w:ascii="仿宋_GB2312" w:hAnsi="仿宋" w:eastAsia="仿宋_GB2312" w:cs="仿宋"/>
                <w:sz w:val="24"/>
                <w:szCs w:val="24"/>
              </w:rPr>
              <w:t>企业设置首席质量官，企业质量意识进一步增强，企业质量水平得到有效提升。</w:t>
            </w:r>
            <w:r>
              <w:rPr>
                <w:rFonts w:hint="eastAsia" w:ascii="仿宋_GB2312" w:hAnsi="仿宋" w:eastAsia="仿宋_GB2312" w:cs="仿宋"/>
                <w:sz w:val="24"/>
                <w:szCs w:val="24"/>
                <w:lang w:val="en-US" w:eastAsia="zh-CN"/>
              </w:rPr>
              <w:t>同时，在推进实施</w:t>
            </w:r>
            <w:r>
              <w:rPr>
                <w:rFonts w:hint="eastAsia" w:ascii="仿宋_GB2312" w:hAnsi="仿宋" w:eastAsia="仿宋_GB2312" w:cs="仿宋"/>
                <w:sz w:val="24"/>
                <w:szCs w:val="24"/>
              </w:rPr>
              <w:t>企业</w:t>
            </w:r>
            <w:r>
              <w:rPr>
                <w:rFonts w:hint="eastAsia" w:ascii="仿宋_GB2312" w:hAnsi="仿宋" w:eastAsia="仿宋_GB2312" w:cs="仿宋"/>
                <w:sz w:val="24"/>
                <w:szCs w:val="24"/>
                <w:lang w:val="en-US" w:eastAsia="zh-CN"/>
              </w:rPr>
              <w:t>首席质量官制度的工作实践中，也暴露出了目前地区首席质量官水平参差不齐、缺乏针对企业首席质量官制度</w:t>
            </w:r>
            <w:r>
              <w:rPr>
                <w:rFonts w:hint="eastAsia" w:hAnsi="仿宋" w:cs="仿宋"/>
                <w:sz w:val="24"/>
                <w:szCs w:val="24"/>
                <w:lang w:val="en-US" w:eastAsia="zh-CN"/>
              </w:rPr>
              <w:t>实施</w:t>
            </w:r>
            <w:r>
              <w:rPr>
                <w:rFonts w:hint="eastAsia" w:ascii="仿宋_GB2312" w:hAnsi="仿宋" w:eastAsia="仿宋_GB2312" w:cs="仿宋"/>
                <w:sz w:val="24"/>
                <w:szCs w:val="24"/>
                <w:lang w:val="en-US" w:eastAsia="zh-CN"/>
              </w:rPr>
              <w:t>的规范指导等问题，亟须建立配套标准予以引导和规范。</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504" w:firstLineChars="200"/>
              <w:textAlignment w:val="auto"/>
              <w:rPr>
                <w:rFonts w:hint="eastAsia" w:ascii="仿宋_GB2312" w:hAnsi="仿宋" w:eastAsia="仿宋_GB2312" w:cs="仿宋"/>
                <w:sz w:val="24"/>
              </w:rPr>
            </w:pPr>
            <w:r>
              <w:rPr>
                <w:rFonts w:hint="eastAsia" w:ascii="仿宋_GB2312" w:hAnsi="仿宋" w:eastAsia="仿宋_GB2312" w:cs="仿宋"/>
                <w:sz w:val="24"/>
                <w:szCs w:val="24"/>
                <w:lang w:val="en-US" w:eastAsia="zh-CN"/>
              </w:rPr>
              <w:t>《</w:t>
            </w:r>
            <w:r>
              <w:rPr>
                <w:rFonts w:hint="eastAsia" w:hAnsi="仿宋" w:cs="仿宋"/>
                <w:sz w:val="24"/>
                <w:szCs w:val="24"/>
                <w:lang w:val="en-US" w:eastAsia="zh-CN"/>
              </w:rPr>
              <w:t>企业首席质量官制度实施指南</w:t>
            </w:r>
            <w:r>
              <w:rPr>
                <w:rFonts w:hint="eastAsia" w:ascii="仿宋_GB2312" w:hAnsi="仿宋" w:eastAsia="仿宋_GB2312" w:cs="仿宋"/>
                <w:sz w:val="24"/>
                <w:szCs w:val="24"/>
                <w:lang w:val="en-US" w:eastAsia="zh-CN"/>
              </w:rPr>
              <w:t>》标准明确了企业首席质量官制度在实施过程中的岗位设置、任职要求、工作职责、工作内容、工作保障、管理与聘任考核等方面的指导，可为企业建设有效的首席质量官制度提供参考。实施该文件有利于更好发挥全市首席质量官的质量管理与示范引领作用，推动企业质量变革创新，并将在全市带动各个行业全面建设首席质量官制度，为系统推进质量强企、强链、强</w:t>
            </w:r>
            <w:r>
              <w:rPr>
                <w:rFonts w:hint="eastAsia" w:hAnsi="仿宋" w:cs="仿宋"/>
                <w:sz w:val="24"/>
                <w:szCs w:val="24"/>
                <w:lang w:val="en-US" w:eastAsia="zh-CN"/>
              </w:rPr>
              <w:t>县</w:t>
            </w:r>
            <w:r>
              <w:rPr>
                <w:rFonts w:hint="eastAsia" w:ascii="仿宋_GB2312" w:hAnsi="仿宋" w:eastAsia="仿宋_GB2312" w:cs="仿宋"/>
                <w:sz w:val="24"/>
                <w:szCs w:val="24"/>
                <w:lang w:val="en-US" w:eastAsia="zh-CN"/>
              </w:rPr>
              <w:t>建设，</w:t>
            </w:r>
            <w:r>
              <w:rPr>
                <w:rFonts w:hint="eastAsia" w:ascii="Times New Roman" w:hAnsi="Times New Roman" w:eastAsia="仿宋_GB2312" w:cs="Times New Roman"/>
                <w:bCs/>
                <w:color w:val="000000"/>
                <w:sz w:val="24"/>
                <w:szCs w:val="24"/>
                <w:lang w:val="en-US" w:eastAsia="zh-CN"/>
              </w:rPr>
              <w:t>培育</w:t>
            </w:r>
            <w:r>
              <w:rPr>
                <w:rFonts w:hint="eastAsia" w:eastAsia="仿宋_GB2312" w:cs="Times New Roman"/>
                <w:bCs/>
                <w:color w:val="000000"/>
                <w:sz w:val="24"/>
                <w:szCs w:val="24"/>
                <w:lang w:val="en-US" w:eastAsia="zh-CN"/>
              </w:rPr>
              <w:t>壮大优势特色产业</w:t>
            </w:r>
            <w:r>
              <w:rPr>
                <w:rFonts w:hint="eastAsia" w:ascii="Times New Roman" w:hAnsi="Times New Roman" w:eastAsia="仿宋_GB2312" w:cs="Times New Roman"/>
                <w:bCs/>
                <w:color w:val="000000"/>
                <w:sz w:val="24"/>
                <w:szCs w:val="24"/>
                <w:lang w:val="en-US" w:eastAsia="zh-CN"/>
              </w:rPr>
              <w:t>，推动其在中国式现代化建设中走在前列发挥重要作用。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295" w:hRule="atLeast"/>
        </w:trPr>
        <w:tc>
          <w:tcPr>
            <w:tcW w:w="9240" w:type="dxa"/>
            <w:gridSpan w:val="8"/>
            <w:tcBorders>
              <w:top w:val="single" w:color="auto" w:sz="4" w:space="0"/>
              <w:left w:val="single" w:color="auto" w:sz="4" w:space="0"/>
              <w:bottom w:val="single" w:color="auto" w:sz="4" w:space="0"/>
              <w:right w:val="single" w:color="auto" w:sz="4" w:space="0"/>
            </w:tcBorders>
          </w:tcPr>
          <w:p>
            <w:pPr>
              <w:spacing w:line="4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可行性分析（800字以上）</w:t>
            </w:r>
          </w:p>
          <w:p>
            <w:pPr>
              <w:keepNext w:val="0"/>
              <w:keepLines w:val="0"/>
              <w:pageBreakBefore w:val="0"/>
              <w:kinsoku/>
              <w:wordWrap/>
              <w:overflowPunct/>
              <w:topLinePunct w:val="0"/>
              <w:autoSpaceDE/>
              <w:autoSpaceDN/>
              <w:bidi w:val="0"/>
              <w:adjustRightInd/>
              <w:snapToGrid/>
              <w:spacing w:line="360" w:lineRule="auto"/>
              <w:ind w:left="0" w:leftChars="0" w:firstLine="504" w:firstLineChars="200"/>
              <w:textAlignment w:val="auto"/>
              <w:rPr>
                <w:rFonts w:hint="eastAsia" w:ascii="仿宋_GB2312" w:hAnsi="仿宋_GB2312" w:eastAsia="仿宋_GB2312" w:cs="仿宋_GB2312"/>
                <w:bCs/>
                <w:color w:val="auto"/>
                <w:sz w:val="24"/>
                <w:szCs w:val="24"/>
                <w:lang w:val="en-US" w:eastAsia="zh-CN"/>
              </w:rPr>
            </w:pPr>
            <w:r>
              <w:rPr>
                <w:rFonts w:hint="eastAsia" w:ascii="仿宋_GB2312" w:hAnsi="仿宋_GB2312" w:eastAsia="仿宋_GB2312" w:cs="仿宋_GB2312"/>
                <w:bCs/>
                <w:color w:val="auto"/>
                <w:sz w:val="24"/>
                <w:szCs w:val="24"/>
                <w:lang w:val="en-US" w:eastAsia="zh-CN"/>
              </w:rPr>
              <w:t>标准编制基于原国家质检总局《关于开展企业首席质量官制度试点工作的通知》（质检办质〔2012〕749号）</w:t>
            </w:r>
            <w:r>
              <w:rPr>
                <w:rFonts w:hint="eastAsia" w:ascii="仿宋_GB2312" w:hAnsi="仿宋_GB2312" w:eastAsia="仿宋_GB2312" w:cs="仿宋_GB2312"/>
                <w:bCs/>
                <w:color w:val="auto"/>
                <w:sz w:val="24"/>
                <w:szCs w:val="24"/>
              </w:rPr>
              <w:t>《质量强国建设纲要》关于“健全企业首席质量官制度”的部署要求</w:t>
            </w:r>
            <w:r>
              <w:rPr>
                <w:rFonts w:hint="eastAsia" w:ascii="仿宋_GB2312" w:hAnsi="仿宋_GB2312" w:eastAsia="仿宋_GB2312" w:cs="仿宋_GB2312"/>
                <w:bCs/>
                <w:color w:val="auto"/>
                <w:sz w:val="24"/>
                <w:szCs w:val="24"/>
                <w:lang w:val="en-US" w:eastAsia="zh-CN"/>
              </w:rPr>
              <w:t>以及巴彦淖尔市已发布的首席质量官相关政策性文件要求，符合国家的法律法规和国家政策要求。</w:t>
            </w:r>
          </w:p>
          <w:p>
            <w:pPr>
              <w:pStyle w:val="11"/>
              <w:numPr>
                <w:ilvl w:val="0"/>
                <w:numId w:val="0"/>
              </w:numPr>
              <w:spacing w:line="360" w:lineRule="auto"/>
              <w:ind w:firstLine="480" w:firstLineChars="200"/>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bCs/>
                <w:color w:val="auto"/>
                <w:kern w:val="2"/>
                <w:sz w:val="24"/>
                <w:szCs w:val="24"/>
                <w:lang w:val="en-US" w:eastAsia="zh-CN" w:bidi="ar-SA"/>
              </w:rPr>
              <w:t>企业首席质量官（CQO）制度的实施具有高度的战略意义。在当前经济从数量规模型向质量效益型转变的背景下，设立CQO是现代企业质量管理的重要组成部分，也是响应《质量强国建设纲要》的重要举措。CQO作为企业“第一质量人”，全面负责企业质量工作，能够有效推动企业质量战略的制定和实施，从而提升企业的核心竞争力和市场地位。</w:t>
            </w:r>
          </w:p>
          <w:p>
            <w:pPr>
              <w:pStyle w:val="11"/>
              <w:numPr>
                <w:ilvl w:val="0"/>
                <w:numId w:val="0"/>
              </w:numPr>
              <w:spacing w:line="360" w:lineRule="auto"/>
              <w:ind w:firstLine="480" w:firstLineChars="200"/>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bCs/>
                <w:color w:val="auto"/>
                <w:kern w:val="2"/>
                <w:sz w:val="24"/>
                <w:szCs w:val="24"/>
                <w:lang w:val="en-US" w:eastAsia="zh-CN" w:bidi="ar-SA"/>
              </w:rPr>
              <w:t>该制度在岗位设置上明确了CQO的高层领导地位，直接由企业法人代表或主要负责人授权和任命，这为企业CQO在履行职责时提供了有力的组织保障和权威性。同时，要求企业有相应的组织架构支撑CQO的履职，确保了CQO在质量管理方面的全面性和系统性。</w:t>
            </w:r>
          </w:p>
          <w:p>
            <w:pPr>
              <w:pStyle w:val="11"/>
              <w:numPr>
                <w:ilvl w:val="0"/>
                <w:numId w:val="0"/>
              </w:numPr>
              <w:spacing w:line="360" w:lineRule="auto"/>
              <w:ind w:firstLine="480" w:firstLineChars="200"/>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bCs/>
                <w:color w:val="auto"/>
                <w:kern w:val="2"/>
                <w:sz w:val="24"/>
                <w:szCs w:val="24"/>
                <w:lang w:val="en-US" w:eastAsia="zh-CN" w:bidi="ar-SA"/>
              </w:rPr>
              <w:t>在任职要求方面，文件详细列出了CQO应具备的任职资格和任职能力，包括思想政治素质、专业素养、质量管理知识、实践经验、继续教育等，这为选拔和培养合格的CQO提供了明确的标准和指导。同时，通过明确的行为规范，确保CQO在履职过程中能够坚持原则、秉公办事，履行职业操守。</w:t>
            </w:r>
          </w:p>
          <w:p>
            <w:pPr>
              <w:pStyle w:val="11"/>
              <w:numPr>
                <w:ilvl w:val="0"/>
                <w:numId w:val="0"/>
              </w:numPr>
              <w:spacing w:line="360" w:lineRule="auto"/>
              <w:ind w:firstLine="480" w:firstLineChars="200"/>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bCs/>
                <w:color w:val="auto"/>
                <w:kern w:val="2"/>
                <w:sz w:val="24"/>
                <w:szCs w:val="24"/>
                <w:lang w:val="en-US" w:eastAsia="zh-CN" w:bidi="ar-SA"/>
              </w:rPr>
              <w:t>在工作职责方面，文件详细列举了CQO的多个方面工作内容，包括质量战略制定和部署、产品和服务质量、企业质量竞争力提升、质量基础工作建设以及履行社会责任等。这些职责的明确，为CQO提供了清晰的工作方向和任务目标，有助于CQO在企业内部发挥更大的作用。</w:t>
            </w:r>
          </w:p>
          <w:p>
            <w:pPr>
              <w:pStyle w:val="11"/>
              <w:numPr>
                <w:ilvl w:val="0"/>
                <w:numId w:val="0"/>
              </w:numPr>
              <w:spacing w:line="360" w:lineRule="auto"/>
              <w:ind w:firstLine="480" w:firstLineChars="200"/>
              <w:rPr>
                <w:rFonts w:hint="eastAsia" w:ascii="仿宋_GB2312" w:hAnsi="仿宋_GB2312" w:eastAsia="仿宋_GB2312" w:cs="仿宋_GB2312"/>
                <w:sz w:val="24"/>
                <w:szCs w:val="24"/>
                <w:lang w:val="en-US"/>
              </w:rPr>
            </w:pPr>
            <w:r>
              <w:rPr>
                <w:rFonts w:hint="eastAsia" w:ascii="仿宋_GB2312" w:hAnsi="仿宋_GB2312" w:eastAsia="仿宋_GB2312" w:cs="仿宋_GB2312"/>
                <w:bCs/>
                <w:color w:val="auto"/>
                <w:kern w:val="2"/>
                <w:sz w:val="24"/>
                <w:szCs w:val="24"/>
                <w:lang w:val="en-US" w:eastAsia="zh-CN" w:bidi="ar-SA"/>
              </w:rPr>
              <w:t>文件还提供了工作保障措施，包括岗位职权保证和经费保障等，确保CQO在履行职责过程中能够拥有足够的权力和资源支持。同时，通过聘任管理制度的建立，确保了CQO的选拔、聘任、考核和离职等各个环节的规范性和有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44" w:hRule="atLeast"/>
        </w:trPr>
        <w:tc>
          <w:tcPr>
            <w:tcW w:w="9240" w:type="dxa"/>
            <w:gridSpan w:val="8"/>
            <w:tcBorders>
              <w:top w:val="single" w:color="auto" w:sz="4" w:space="0"/>
              <w:left w:val="single" w:color="auto" w:sz="4" w:space="0"/>
              <w:bottom w:val="single" w:color="auto" w:sz="4" w:space="0"/>
              <w:right w:val="single" w:color="auto" w:sz="4" w:space="0"/>
            </w:tcBorders>
          </w:tcPr>
          <w:p>
            <w:pPr>
              <w:spacing w:line="440" w:lineRule="exact"/>
              <w:rPr>
                <w:rFonts w:hint="eastAsia" w:ascii="仿宋_GB2312" w:hAnsi="仿宋" w:eastAsia="仿宋_GB2312" w:cs="仿宋"/>
                <w:sz w:val="24"/>
              </w:rPr>
            </w:pPr>
            <w:r>
              <w:rPr>
                <w:rFonts w:hint="eastAsia" w:ascii="仿宋_GB2312" w:hAnsi="仿宋" w:eastAsia="仿宋_GB2312" w:cs="仿宋"/>
                <w:sz w:val="24"/>
              </w:rPr>
              <w:t>适用范围和主要技术内容（阐明拟制定标准主要内容的编写结构，至少应列出三级提纲，标准内容应以技术类为主，适当兼顾必要的管理类内容）：</w:t>
            </w:r>
          </w:p>
          <w:p>
            <w:pPr>
              <w:spacing w:line="440" w:lineRule="exact"/>
              <w:ind w:firstLine="504" w:firstLineChars="200"/>
              <w:rPr>
                <w:rFonts w:hint="eastAsia" w:hAnsi="仿宋"/>
                <w:sz w:val="24"/>
                <w:lang w:eastAsia="zh-CN"/>
              </w:rPr>
            </w:pPr>
            <w:r>
              <w:rPr>
                <w:rFonts w:hint="eastAsia" w:ascii="仿宋_GB2312" w:hAnsi="仿宋" w:eastAsia="仿宋_GB2312"/>
                <w:sz w:val="24"/>
              </w:rPr>
              <w:t>本文件适用于指导规上企业首席质量官制度的实施</w:t>
            </w:r>
            <w:r>
              <w:rPr>
                <w:rFonts w:hint="eastAsia" w:hAnsi="仿宋"/>
                <w:sz w:val="24"/>
                <w:lang w:eastAsia="zh-CN"/>
              </w:rPr>
              <w:t>，</w:t>
            </w:r>
            <w:r>
              <w:rPr>
                <w:rFonts w:hint="eastAsia" w:ascii="仿宋_GB2312" w:hAnsi="仿宋" w:eastAsia="仿宋_GB2312"/>
                <w:sz w:val="24"/>
              </w:rPr>
              <w:t>其他中小企业实施首席质量官制度可参照执行</w:t>
            </w:r>
            <w:r>
              <w:rPr>
                <w:rFonts w:hint="eastAsia" w:hAnsi="仿宋"/>
                <w:sz w:val="24"/>
                <w:lang w:eastAsia="zh-CN"/>
              </w:rPr>
              <w:t>。</w:t>
            </w:r>
          </w:p>
          <w:p>
            <w:pPr>
              <w:spacing w:line="440" w:lineRule="exact"/>
              <w:ind w:firstLine="504" w:firstLineChars="200"/>
              <w:rPr>
                <w:rFonts w:hint="eastAsia" w:hAnsi="仿宋" w:cs="仿宋"/>
                <w:sz w:val="24"/>
                <w:lang w:val="en-US" w:eastAsia="zh-CN"/>
              </w:rPr>
            </w:pPr>
            <w:r>
              <w:rPr>
                <w:rFonts w:hint="eastAsia" w:ascii="仿宋_GB2312" w:hAnsi="仿宋" w:eastAsia="仿宋_GB2312" w:cs="仿宋"/>
                <w:sz w:val="24"/>
              </w:rPr>
              <w:t>主要技术内容</w:t>
            </w:r>
            <w:r>
              <w:rPr>
                <w:rFonts w:hint="eastAsia" w:hAnsi="仿宋" w:cs="仿宋"/>
                <w:sz w:val="24"/>
                <w:lang w:val="en-US" w:eastAsia="zh-CN"/>
              </w:rPr>
              <w:t>包括：</w:t>
            </w:r>
          </w:p>
          <w:p>
            <w:pPr>
              <w:spacing w:line="440" w:lineRule="exact"/>
              <w:ind w:firstLine="504" w:firstLineChars="200"/>
              <w:rPr>
                <w:rFonts w:hint="eastAsia" w:hAnsi="仿宋" w:cs="仿宋"/>
                <w:sz w:val="24"/>
                <w:lang w:val="en-US" w:eastAsia="zh-CN"/>
              </w:rPr>
            </w:pPr>
            <w:r>
              <w:rPr>
                <w:rFonts w:hint="eastAsia" w:hAnsi="仿宋" w:cs="仿宋"/>
                <w:sz w:val="24"/>
                <w:lang w:val="en-US" w:eastAsia="zh-CN"/>
              </w:rPr>
              <w:t>5 任职要求</w:t>
            </w:r>
          </w:p>
          <w:p>
            <w:pPr>
              <w:spacing w:line="440" w:lineRule="exact"/>
              <w:ind w:firstLine="756" w:firstLineChars="300"/>
              <w:rPr>
                <w:rFonts w:hint="eastAsia" w:hAnsi="仿宋" w:cs="仿宋"/>
                <w:sz w:val="24"/>
                <w:lang w:val="en-US" w:eastAsia="zh-CN"/>
              </w:rPr>
            </w:pPr>
            <w:r>
              <w:rPr>
                <w:rFonts w:hint="eastAsia" w:hAnsi="仿宋" w:cs="仿宋"/>
                <w:sz w:val="24"/>
                <w:lang w:val="en-US" w:eastAsia="zh-CN"/>
              </w:rPr>
              <w:t>5.1任职资格</w:t>
            </w:r>
          </w:p>
          <w:p>
            <w:pPr>
              <w:spacing w:line="440" w:lineRule="exact"/>
              <w:ind w:firstLine="756" w:firstLineChars="300"/>
              <w:rPr>
                <w:rFonts w:hint="eastAsia" w:hAnsi="仿宋" w:cs="仿宋"/>
                <w:sz w:val="24"/>
                <w:lang w:val="en-US" w:eastAsia="zh-CN"/>
              </w:rPr>
            </w:pPr>
            <w:r>
              <w:rPr>
                <w:rFonts w:hint="eastAsia" w:hAnsi="仿宋" w:cs="仿宋"/>
                <w:sz w:val="24"/>
                <w:lang w:val="en-US" w:eastAsia="zh-CN"/>
              </w:rPr>
              <w:t>5.2任职能力</w:t>
            </w:r>
          </w:p>
          <w:p>
            <w:pPr>
              <w:spacing w:line="440" w:lineRule="exact"/>
              <w:ind w:firstLine="756" w:firstLineChars="300"/>
              <w:rPr>
                <w:rFonts w:hint="eastAsia" w:hAnsi="仿宋" w:cs="仿宋"/>
                <w:sz w:val="24"/>
                <w:lang w:val="en-US" w:eastAsia="zh-CN"/>
              </w:rPr>
            </w:pPr>
            <w:r>
              <w:rPr>
                <w:rFonts w:hint="eastAsia" w:hAnsi="仿宋" w:cs="仿宋"/>
                <w:sz w:val="24"/>
                <w:lang w:val="en-US" w:eastAsia="zh-CN"/>
              </w:rPr>
              <w:t>5.3 行为规范</w:t>
            </w:r>
          </w:p>
          <w:p>
            <w:pPr>
              <w:spacing w:line="440" w:lineRule="exact"/>
              <w:ind w:firstLine="504" w:firstLineChars="200"/>
              <w:rPr>
                <w:rFonts w:hint="eastAsia" w:hAnsi="仿宋" w:cs="仿宋"/>
                <w:sz w:val="24"/>
                <w:lang w:val="en-US" w:eastAsia="zh-CN"/>
              </w:rPr>
            </w:pPr>
            <w:r>
              <w:rPr>
                <w:rFonts w:hint="eastAsia" w:hAnsi="仿宋" w:cs="仿宋"/>
                <w:sz w:val="24"/>
                <w:lang w:val="en-US" w:eastAsia="zh-CN"/>
              </w:rPr>
              <w:t>6 工作职责</w:t>
            </w:r>
          </w:p>
          <w:p>
            <w:pPr>
              <w:spacing w:line="440" w:lineRule="exact"/>
              <w:ind w:firstLine="504" w:firstLineChars="200"/>
              <w:rPr>
                <w:rFonts w:hint="eastAsia" w:hAnsi="仿宋" w:cs="仿宋"/>
                <w:sz w:val="24"/>
                <w:lang w:val="en-US" w:eastAsia="zh-CN"/>
              </w:rPr>
            </w:pPr>
            <w:r>
              <w:rPr>
                <w:rFonts w:hint="eastAsia" w:hAnsi="仿宋" w:cs="仿宋"/>
                <w:sz w:val="24"/>
                <w:lang w:val="en-US" w:eastAsia="zh-CN"/>
              </w:rPr>
              <w:t>7 工作内容</w:t>
            </w:r>
          </w:p>
          <w:p>
            <w:pPr>
              <w:spacing w:line="440" w:lineRule="exact"/>
              <w:ind w:firstLine="756" w:firstLineChars="300"/>
              <w:rPr>
                <w:rFonts w:hint="eastAsia" w:hAnsi="仿宋" w:cs="仿宋"/>
                <w:sz w:val="24"/>
                <w:lang w:val="en-US" w:eastAsia="zh-CN"/>
              </w:rPr>
            </w:pPr>
            <w:r>
              <w:rPr>
                <w:rFonts w:hint="eastAsia" w:hAnsi="仿宋" w:cs="仿宋"/>
                <w:sz w:val="24"/>
                <w:lang w:val="en-US" w:eastAsia="zh-CN"/>
              </w:rPr>
              <w:t>7.1 质量战略制定和部署</w:t>
            </w:r>
          </w:p>
          <w:p>
            <w:pPr>
              <w:spacing w:line="440" w:lineRule="exact"/>
              <w:ind w:firstLine="1008" w:firstLineChars="400"/>
              <w:rPr>
                <w:rFonts w:hint="eastAsia" w:hAnsi="仿宋" w:cs="仿宋"/>
                <w:sz w:val="24"/>
                <w:lang w:val="en-US" w:eastAsia="zh-CN"/>
              </w:rPr>
            </w:pPr>
            <w:r>
              <w:rPr>
                <w:rFonts w:hint="eastAsia" w:hAnsi="仿宋" w:cs="仿宋"/>
                <w:sz w:val="24"/>
                <w:lang w:val="en-US" w:eastAsia="zh-CN"/>
              </w:rPr>
              <w:t>7.1.1 质量战略制定</w:t>
            </w:r>
          </w:p>
          <w:p>
            <w:pPr>
              <w:spacing w:line="440" w:lineRule="exact"/>
              <w:ind w:firstLine="1008" w:firstLineChars="400"/>
              <w:rPr>
                <w:rFonts w:hint="eastAsia" w:hAnsi="仿宋" w:cs="仿宋"/>
                <w:sz w:val="24"/>
                <w:lang w:val="en-US" w:eastAsia="zh-CN"/>
              </w:rPr>
            </w:pPr>
            <w:r>
              <w:rPr>
                <w:rFonts w:hint="eastAsia" w:hAnsi="仿宋" w:cs="仿宋"/>
                <w:sz w:val="24"/>
                <w:lang w:val="en-US" w:eastAsia="zh-CN"/>
              </w:rPr>
              <w:t>7.1.2 质量战略部署</w:t>
            </w:r>
          </w:p>
          <w:p>
            <w:pPr>
              <w:spacing w:line="440" w:lineRule="exact"/>
              <w:ind w:firstLine="756" w:firstLineChars="300"/>
              <w:rPr>
                <w:rFonts w:hint="eastAsia" w:hAnsi="仿宋" w:cs="仿宋"/>
                <w:sz w:val="24"/>
                <w:lang w:val="en-US" w:eastAsia="zh-CN"/>
              </w:rPr>
            </w:pPr>
            <w:r>
              <w:rPr>
                <w:rFonts w:hint="eastAsia" w:hAnsi="仿宋" w:cs="仿宋"/>
                <w:sz w:val="24"/>
                <w:lang w:val="en-US" w:eastAsia="zh-CN"/>
              </w:rPr>
              <w:t>7.2 产品和服务质量</w:t>
            </w:r>
          </w:p>
          <w:p>
            <w:pPr>
              <w:spacing w:line="440" w:lineRule="exact"/>
              <w:ind w:firstLine="756" w:firstLineChars="300"/>
              <w:rPr>
                <w:rFonts w:hint="eastAsia" w:hAnsi="仿宋" w:cs="仿宋"/>
                <w:sz w:val="24"/>
                <w:lang w:val="en-US" w:eastAsia="zh-CN"/>
              </w:rPr>
            </w:pPr>
            <w:r>
              <w:rPr>
                <w:rFonts w:hint="eastAsia" w:hAnsi="仿宋" w:cs="仿宋"/>
                <w:sz w:val="24"/>
                <w:lang w:val="en-US" w:eastAsia="zh-CN"/>
              </w:rPr>
              <w:t>7.3 企业质量竞争力提升</w:t>
            </w:r>
          </w:p>
          <w:p>
            <w:pPr>
              <w:spacing w:line="440" w:lineRule="exact"/>
              <w:ind w:firstLine="756" w:firstLineChars="300"/>
              <w:rPr>
                <w:rFonts w:hint="eastAsia" w:hAnsi="仿宋" w:cs="仿宋"/>
                <w:sz w:val="24"/>
                <w:lang w:val="en-US" w:eastAsia="zh-CN"/>
              </w:rPr>
            </w:pPr>
            <w:r>
              <w:rPr>
                <w:rFonts w:hint="eastAsia" w:hAnsi="仿宋" w:cs="仿宋"/>
                <w:sz w:val="24"/>
                <w:lang w:val="en-US" w:eastAsia="zh-CN"/>
              </w:rPr>
              <w:t>7.4质量基础工作建设</w:t>
            </w:r>
          </w:p>
          <w:p>
            <w:pPr>
              <w:spacing w:line="440" w:lineRule="exact"/>
              <w:ind w:firstLine="756" w:firstLineChars="300"/>
              <w:rPr>
                <w:rFonts w:hint="eastAsia" w:hAnsi="仿宋" w:cs="仿宋"/>
                <w:sz w:val="24"/>
                <w:lang w:val="en-US" w:eastAsia="zh-CN"/>
              </w:rPr>
            </w:pPr>
            <w:r>
              <w:rPr>
                <w:rFonts w:hint="eastAsia" w:hAnsi="仿宋" w:cs="仿宋"/>
                <w:sz w:val="24"/>
                <w:lang w:val="en-US" w:eastAsia="zh-CN"/>
              </w:rPr>
              <w:t>7.5 履行社会责任</w:t>
            </w:r>
          </w:p>
          <w:p>
            <w:pPr>
              <w:spacing w:line="440" w:lineRule="exact"/>
              <w:ind w:firstLine="504" w:firstLineChars="200"/>
              <w:rPr>
                <w:rFonts w:hint="eastAsia" w:hAnsi="仿宋" w:cs="仿宋"/>
                <w:sz w:val="24"/>
                <w:lang w:val="en-US" w:eastAsia="zh-CN"/>
              </w:rPr>
            </w:pPr>
            <w:r>
              <w:rPr>
                <w:rFonts w:hint="eastAsia" w:hAnsi="仿宋" w:cs="仿宋"/>
                <w:sz w:val="24"/>
                <w:lang w:val="en-US" w:eastAsia="zh-CN"/>
              </w:rPr>
              <w:t>8 工作保障</w:t>
            </w:r>
          </w:p>
          <w:p>
            <w:pPr>
              <w:spacing w:line="440" w:lineRule="exact"/>
              <w:ind w:firstLine="756" w:firstLineChars="300"/>
              <w:rPr>
                <w:rFonts w:hint="eastAsia" w:hAnsi="仿宋" w:cs="仿宋"/>
                <w:sz w:val="24"/>
                <w:lang w:val="en-US" w:eastAsia="zh-CN"/>
              </w:rPr>
            </w:pPr>
            <w:r>
              <w:rPr>
                <w:rFonts w:hint="eastAsia" w:hAnsi="仿宋" w:cs="仿宋"/>
                <w:sz w:val="24"/>
                <w:lang w:val="en-US" w:eastAsia="zh-CN"/>
              </w:rPr>
              <w:t>8.1 岗位职权保证</w:t>
            </w:r>
          </w:p>
          <w:p>
            <w:pPr>
              <w:spacing w:line="440" w:lineRule="exact"/>
              <w:ind w:firstLine="756" w:firstLineChars="300"/>
              <w:rPr>
                <w:rFonts w:hint="eastAsia" w:hAnsi="仿宋" w:cs="仿宋"/>
                <w:sz w:val="24"/>
                <w:lang w:val="en-US" w:eastAsia="zh-CN"/>
              </w:rPr>
            </w:pPr>
            <w:r>
              <w:rPr>
                <w:rFonts w:hint="eastAsia" w:hAnsi="仿宋" w:cs="仿宋"/>
                <w:sz w:val="24"/>
                <w:lang w:val="en-US" w:eastAsia="zh-CN"/>
              </w:rPr>
              <w:t>8.2 经费保障</w:t>
            </w:r>
          </w:p>
          <w:p>
            <w:pPr>
              <w:spacing w:line="440" w:lineRule="exact"/>
              <w:ind w:firstLine="504" w:firstLineChars="200"/>
              <w:rPr>
                <w:rFonts w:hint="eastAsia" w:hAnsi="仿宋" w:cs="仿宋"/>
                <w:sz w:val="24"/>
                <w:lang w:val="en-US" w:eastAsia="zh-CN"/>
              </w:rPr>
            </w:pPr>
            <w:r>
              <w:rPr>
                <w:rFonts w:hint="eastAsia" w:hAnsi="仿宋" w:cs="仿宋"/>
                <w:sz w:val="24"/>
                <w:lang w:val="en-US" w:eastAsia="zh-CN"/>
              </w:rPr>
              <w:t>9 聘任管理</w:t>
            </w:r>
          </w:p>
          <w:p>
            <w:pPr>
              <w:spacing w:line="440" w:lineRule="exact"/>
              <w:rPr>
                <w:rFonts w:hint="default" w:hAnsi="仿宋" w:cs="仿宋"/>
                <w:sz w:val="24"/>
                <w:lang w:val="en-US" w:eastAsia="zh-CN"/>
              </w:rPr>
            </w:pPr>
          </w:p>
        </w:tc>
      </w:tr>
    </w:tbl>
    <w:p>
      <w:pPr>
        <w:spacing w:line="560" w:lineRule="exact"/>
        <w:jc w:val="center"/>
        <w:rPr>
          <w:rFonts w:hint="eastAsia" w:ascii="方正小标宋简体" w:hAnsi="宋体" w:eastAsia="方正小标宋简体" w:cs="方正小标宋简体"/>
          <w:sz w:val="36"/>
          <w:szCs w:val="36"/>
          <w:lang w:eastAsia="zh-CN"/>
        </w:rPr>
      </w:pPr>
    </w:p>
    <w:p>
      <w:pPr>
        <w:spacing w:line="560" w:lineRule="exact"/>
        <w:jc w:val="center"/>
        <w:rPr>
          <w:rFonts w:hint="eastAsia" w:ascii="方正小标宋简体" w:hAnsi="宋体" w:eastAsia="方正小标宋简体" w:cs="方正小标宋简体"/>
          <w:sz w:val="36"/>
          <w:szCs w:val="36"/>
          <w:lang w:eastAsia="zh-CN"/>
        </w:rPr>
      </w:pPr>
    </w:p>
    <w:p>
      <w:pPr>
        <w:spacing w:line="560" w:lineRule="exact"/>
        <w:jc w:val="center"/>
        <w:rPr>
          <w:rFonts w:hint="eastAsia" w:ascii="方正小标宋简体" w:hAnsi="宋体" w:eastAsia="方正小标宋简体" w:cs="方正小标宋简体"/>
          <w:sz w:val="36"/>
          <w:szCs w:val="36"/>
          <w:lang w:eastAsia="zh-CN"/>
        </w:rPr>
      </w:pPr>
    </w:p>
    <w:p>
      <w:pPr>
        <w:spacing w:line="560" w:lineRule="exact"/>
        <w:jc w:val="center"/>
        <w:rPr>
          <w:rFonts w:hint="eastAsia" w:ascii="方正小标宋简体" w:hAnsi="宋体" w:eastAsia="方正小标宋简体" w:cs="方正小标宋简体"/>
          <w:sz w:val="36"/>
          <w:szCs w:val="36"/>
          <w:lang w:eastAsia="zh-CN"/>
        </w:rPr>
      </w:pPr>
    </w:p>
    <w:p>
      <w:pPr>
        <w:spacing w:line="560" w:lineRule="exact"/>
        <w:jc w:val="center"/>
        <w:rPr>
          <w:rFonts w:ascii="方正小标宋简体" w:hAnsi="宋体" w:eastAsia="方正小标宋简体"/>
          <w:sz w:val="36"/>
          <w:szCs w:val="36"/>
        </w:rPr>
      </w:pPr>
      <w:r>
        <w:rPr>
          <w:rFonts w:hint="eastAsia" w:ascii="方正小标宋简体" w:hAnsi="宋体" w:eastAsia="方正小标宋简体" w:cs="方正小标宋简体"/>
          <w:sz w:val="36"/>
          <w:szCs w:val="36"/>
          <w:lang w:eastAsia="zh-CN"/>
        </w:rPr>
        <w:t>巴彦淖尔市</w:t>
      </w:r>
      <w:r>
        <w:rPr>
          <w:rFonts w:hint="eastAsia" w:ascii="方正小标宋简体" w:hAnsi="宋体" w:eastAsia="方正小标宋简体" w:cs="方正小标宋简体"/>
          <w:sz w:val="36"/>
          <w:szCs w:val="36"/>
        </w:rPr>
        <w:t>地方标准项目建议书（续）</w:t>
      </w:r>
    </w:p>
    <w:tbl>
      <w:tblPr>
        <w:tblStyle w:val="4"/>
        <w:tblW w:w="955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9"/>
        <w:gridCol w:w="3242"/>
        <w:gridCol w:w="3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1" w:hRule="atLeast"/>
        </w:trPr>
        <w:tc>
          <w:tcPr>
            <w:tcW w:w="9555" w:type="dxa"/>
            <w:gridSpan w:val="3"/>
            <w:tcBorders>
              <w:top w:val="single" w:color="auto" w:sz="4" w:space="0"/>
              <w:left w:val="single" w:color="auto" w:sz="4" w:space="0"/>
              <w:bottom w:val="single" w:color="auto" w:sz="4" w:space="0"/>
              <w:right w:val="single" w:color="auto" w:sz="4" w:space="0"/>
            </w:tcBorders>
          </w:tcPr>
          <w:p>
            <w:pPr>
              <w:spacing w:line="360" w:lineRule="exact"/>
              <w:rPr>
                <w:rFonts w:ascii="仿宋_GB2312" w:hAnsi="仿宋" w:eastAsia="仿宋_GB2312"/>
                <w:sz w:val="24"/>
              </w:rPr>
            </w:pPr>
            <w:r>
              <w:rPr>
                <w:rFonts w:hint="eastAsia" w:ascii="仿宋_GB2312" w:hAnsi="仿宋" w:eastAsia="仿宋_GB2312" w:cs="仿宋"/>
                <w:sz w:val="24"/>
              </w:rPr>
              <w:t>国内外情况简要说明：（国内技术状况，国际或国外、其他省市有哪些同类标准？）</w:t>
            </w:r>
          </w:p>
          <w:p>
            <w:pPr>
              <w:spacing w:line="360" w:lineRule="exact"/>
              <w:ind w:firstLine="504" w:firstLineChars="200"/>
              <w:rPr>
                <w:rFonts w:ascii="仿宋_GB2312" w:hAnsi="仿宋" w:eastAsia="仿宋_GB2312"/>
              </w:rPr>
            </w:pPr>
            <w:r>
              <w:rPr>
                <w:rFonts w:hint="eastAsia" w:ascii="仿宋_GB2312" w:hAnsi="仿宋" w:eastAsia="仿宋_GB2312"/>
                <w:sz w:val="24"/>
                <w:highlight w:val="none"/>
              </w:rPr>
              <w:t>未采用国际标准或国外先进标准。该标准具有地区特色，与国内同类标准无冲突，在技术适用上相互补充。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79" w:hRule="atLeast"/>
        </w:trPr>
        <w:tc>
          <w:tcPr>
            <w:tcW w:w="9555" w:type="dxa"/>
            <w:gridSpan w:val="3"/>
            <w:tcBorders>
              <w:top w:val="single" w:color="auto" w:sz="4" w:space="0"/>
              <w:left w:val="single" w:color="auto" w:sz="4" w:space="0"/>
              <w:bottom w:val="single" w:color="auto" w:sz="4" w:space="0"/>
              <w:right w:val="single" w:color="auto" w:sz="4" w:space="0"/>
            </w:tcBorders>
          </w:tcPr>
          <w:p>
            <w:pPr>
              <w:spacing w:line="440" w:lineRule="exact"/>
              <w:rPr>
                <w:rFonts w:hint="eastAsia" w:ascii="仿宋_GB2312" w:hAnsi="仿宋" w:eastAsia="仿宋_GB2312" w:cs="仿宋"/>
                <w:sz w:val="24"/>
              </w:rPr>
            </w:pPr>
            <w:r>
              <w:rPr>
                <w:rFonts w:hint="eastAsia" w:ascii="仿宋_GB2312" w:hAnsi="仿宋" w:eastAsia="仿宋_GB2312" w:cs="仿宋"/>
                <w:sz w:val="24"/>
              </w:rPr>
              <w:t>基本思路、工作计划、保障措施：</w:t>
            </w:r>
          </w:p>
          <w:p>
            <w:pPr>
              <w:spacing w:line="440" w:lineRule="exact"/>
              <w:ind w:firstLine="504" w:firstLineChars="200"/>
              <w:rPr>
                <w:rFonts w:hint="eastAsia" w:hAnsi="仿宋" w:cs="仿宋"/>
                <w:sz w:val="24"/>
                <w:lang w:val="en-US" w:eastAsia="zh-CN"/>
              </w:rPr>
            </w:pPr>
            <w:r>
              <w:rPr>
                <w:rFonts w:hint="eastAsia" w:hAnsi="仿宋" w:cs="仿宋"/>
                <w:sz w:val="24"/>
                <w:lang w:val="en-US" w:eastAsia="zh-CN"/>
              </w:rPr>
              <w:t>该标准旨在通过明确首席质量官的岗位设置、任职要求、工作职责、工作内容、工作保障和聘任管理等方面要求，为企业实施首席质量官制度提供全面、具体的指导。</w:t>
            </w:r>
          </w:p>
          <w:p>
            <w:pPr>
              <w:spacing w:line="440" w:lineRule="exact"/>
              <w:ind w:firstLine="504" w:firstLineChars="200"/>
              <w:rPr>
                <w:rFonts w:hint="default" w:hAnsi="仿宋" w:cs="仿宋"/>
                <w:sz w:val="24"/>
                <w:lang w:val="en-US" w:eastAsia="zh-CN"/>
              </w:rPr>
            </w:pPr>
            <w:r>
              <w:rPr>
                <w:rFonts w:hint="eastAsia" w:hAnsi="仿宋" w:cs="仿宋"/>
                <w:sz w:val="24"/>
                <w:lang w:val="en-US" w:eastAsia="zh-CN"/>
              </w:rPr>
              <w:t>主要工作计划如下：</w:t>
            </w:r>
          </w:p>
          <w:p>
            <w:pPr>
              <w:spacing w:line="440" w:lineRule="exact"/>
              <w:ind w:firstLine="504" w:firstLineChars="200"/>
              <w:rPr>
                <w:rFonts w:hint="eastAsia" w:ascii="仿宋_GB2312" w:hAnsi="仿宋" w:eastAsia="仿宋_GB2312" w:cs="仿宋"/>
                <w:sz w:val="24"/>
              </w:rPr>
            </w:pPr>
            <w:r>
              <w:rPr>
                <w:rFonts w:hint="eastAsia" w:ascii="仿宋_GB2312" w:hAnsi="仿宋" w:eastAsia="仿宋_GB2312" w:cs="仿宋"/>
                <w:sz w:val="24"/>
              </w:rPr>
              <w:t>1.2024年1月至2月，在广泛收集整理与本标准有关的国内外信息和文献资料的基础上，多次召开起草组工作会议，准备立项资料。</w:t>
            </w:r>
          </w:p>
          <w:p>
            <w:pPr>
              <w:spacing w:line="440" w:lineRule="exact"/>
              <w:ind w:firstLine="504" w:firstLineChars="200"/>
              <w:rPr>
                <w:rFonts w:hint="eastAsia" w:ascii="仿宋_GB2312" w:hAnsi="仿宋" w:eastAsia="仿宋_GB2312" w:cs="仿宋"/>
                <w:sz w:val="24"/>
              </w:rPr>
            </w:pPr>
            <w:r>
              <w:rPr>
                <w:rFonts w:hint="eastAsia" w:ascii="仿宋_GB2312" w:hAnsi="仿宋" w:eastAsia="仿宋_GB2312" w:cs="仿宋"/>
                <w:sz w:val="24"/>
              </w:rPr>
              <w:t>2.2024年3月，召开标准立项研讨会，初步确立了标准编制的原则、思路和主体框架。</w:t>
            </w:r>
          </w:p>
          <w:p>
            <w:pPr>
              <w:spacing w:line="440" w:lineRule="exact"/>
              <w:ind w:firstLine="504" w:firstLineChars="200"/>
              <w:rPr>
                <w:rFonts w:hint="eastAsia" w:ascii="仿宋_GB2312" w:hAnsi="仿宋" w:eastAsia="仿宋_GB2312" w:cs="仿宋"/>
                <w:sz w:val="24"/>
              </w:rPr>
            </w:pPr>
            <w:r>
              <w:rPr>
                <w:rFonts w:hint="eastAsia" w:ascii="仿宋_GB2312" w:hAnsi="仿宋" w:eastAsia="仿宋_GB2312" w:cs="仿宋"/>
                <w:sz w:val="24"/>
              </w:rPr>
              <w:t>3.2024年4月至5月，召开标准第二次研讨会，基于前期确立的标准框架，征集多方意见和建议，为标准制定提供更加有效提供参考。</w:t>
            </w:r>
          </w:p>
          <w:p>
            <w:pPr>
              <w:spacing w:line="440" w:lineRule="exact"/>
              <w:ind w:firstLine="504" w:firstLineChars="200"/>
              <w:rPr>
                <w:rFonts w:hint="eastAsia" w:ascii="仿宋_GB2312" w:hAnsi="仿宋" w:eastAsia="仿宋_GB2312" w:cs="仿宋"/>
                <w:sz w:val="24"/>
              </w:rPr>
            </w:pPr>
            <w:r>
              <w:rPr>
                <w:rFonts w:hint="eastAsia" w:ascii="仿宋_GB2312" w:hAnsi="仿宋" w:eastAsia="仿宋_GB2312" w:cs="仿宋"/>
                <w:sz w:val="24"/>
              </w:rPr>
              <w:t>4.2024年5月至8月，制定标准草案稿，完成立项申报。</w:t>
            </w:r>
          </w:p>
          <w:p>
            <w:pPr>
              <w:spacing w:line="440" w:lineRule="exact"/>
              <w:ind w:firstLine="504" w:firstLineChars="200"/>
              <w:rPr>
                <w:rFonts w:hint="eastAsia" w:ascii="仿宋_GB2312" w:hAnsi="仿宋" w:eastAsia="仿宋_GB2312" w:cs="仿宋"/>
                <w:sz w:val="24"/>
              </w:rPr>
            </w:pPr>
            <w:r>
              <w:rPr>
                <w:rFonts w:hint="eastAsia" w:hAnsi="仿宋" w:cs="仿宋"/>
                <w:sz w:val="24"/>
                <w:lang w:val="en-US" w:eastAsia="zh-CN"/>
              </w:rPr>
              <w:t>5.</w:t>
            </w:r>
            <w:r>
              <w:rPr>
                <w:rFonts w:hint="eastAsia" w:ascii="仿宋_GB2312" w:hAnsi="仿宋" w:eastAsia="仿宋_GB2312" w:cs="仿宋"/>
                <w:sz w:val="24"/>
              </w:rPr>
              <w:t>计划于2024年12月完成公开征求意见，2025年1月前形成送审稿，报送到巴彦淖尔市市场监督管理局进行审查。</w:t>
            </w:r>
          </w:p>
          <w:p>
            <w:pPr>
              <w:spacing w:line="440" w:lineRule="exact"/>
              <w:ind w:firstLine="504" w:firstLineChars="200"/>
              <w:rPr>
                <w:rFonts w:hint="default" w:ascii="仿宋_GB2312" w:hAnsi="仿宋" w:eastAsia="宋体"/>
                <w:sz w:val="24"/>
                <w:lang w:val="en-US" w:eastAsia="zh-CN"/>
              </w:rPr>
            </w:pPr>
            <w:r>
              <w:rPr>
                <w:rFonts w:hint="eastAsia" w:hAnsi="仿宋" w:cs="仿宋"/>
                <w:sz w:val="24"/>
                <w:lang w:val="en-US" w:eastAsia="zh-CN"/>
              </w:rPr>
              <w:t>标准起草人员由中心抽调质量管理、标准等专业人员组成专门的工作小组，还邀请了众多企业质量管理人员协助起草，中心在资金和人员上给予了大力支持，积极向行业主管部门申请标准化奖补资金，有效保障了标准起草工作的顺利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atLeast"/>
        </w:trPr>
        <w:tc>
          <w:tcPr>
            <w:tcW w:w="9555"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hAnsi="仿宋" w:eastAsia="仿宋_GB2312" w:cs="仿宋"/>
                <w:sz w:val="24"/>
              </w:rPr>
            </w:pPr>
            <w:r>
              <w:rPr>
                <w:rFonts w:hint="eastAsia" w:ascii="仿宋_GB2312" w:hAnsi="仿宋" w:eastAsia="仿宋_GB2312" w:cs="仿宋"/>
                <w:sz w:val="24"/>
              </w:rPr>
              <w:t>经费来源：     (</w:t>
            </w:r>
            <w:r>
              <w:rPr>
                <w:rFonts w:hint="default" w:ascii="Arial" w:hAnsi="Arial" w:eastAsia="仿宋_GB2312" w:cs="Arial"/>
                <w:sz w:val="24"/>
              </w:rPr>
              <w:t>√</w:t>
            </w:r>
            <w:r>
              <w:rPr>
                <w:rFonts w:hint="eastAsia" w:ascii="Arial" w:hAnsi="Arial" w:cs="Arial"/>
                <w:sz w:val="24"/>
                <w:lang w:eastAsia="zh-CN"/>
              </w:rPr>
              <w:t>）</w:t>
            </w:r>
            <w:r>
              <w:rPr>
                <w:rFonts w:hint="eastAsia" w:ascii="仿宋_GB2312" w:hAnsi="仿宋" w:eastAsia="仿宋_GB2312" w:cs="仿宋"/>
                <w:sz w:val="24"/>
              </w:rPr>
              <w:t xml:space="preserve">自筹      (  </w:t>
            </w:r>
            <w:r>
              <w:rPr>
                <w:rFonts w:hint="eastAsia" w:hAnsi="仿宋" w:cs="仿宋"/>
                <w:sz w:val="24"/>
                <w:lang w:eastAsia="zh-CN"/>
              </w:rPr>
              <w:t>）市</w:t>
            </w:r>
            <w:r>
              <w:rPr>
                <w:rFonts w:hint="eastAsia" w:ascii="仿宋_GB2312" w:hAnsi="仿宋" w:eastAsia="仿宋_GB2312" w:cs="仿宋"/>
                <w:sz w:val="24"/>
              </w:rPr>
              <w:t xml:space="preserve">补助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75" w:hRule="atLeast"/>
        </w:trPr>
        <w:tc>
          <w:tcPr>
            <w:tcW w:w="9555"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hAnsi="仿宋" w:eastAsia="仿宋_GB2312"/>
                <w:sz w:val="24"/>
              </w:rPr>
            </w:pPr>
            <w:r>
              <w:rPr>
                <w:rFonts w:hint="eastAsia" w:ascii="仿宋_GB2312" w:hAnsi="仿宋" w:eastAsia="仿宋_GB2312" w:cs="仿宋"/>
                <w:sz w:val="24"/>
              </w:rPr>
              <w:t>与相关部门、相关行业协调的情况及意见（需要提供相关证明资料）：</w:t>
            </w:r>
          </w:p>
          <w:p>
            <w:pPr>
              <w:spacing w:line="360" w:lineRule="exact"/>
              <w:rPr>
                <w:rFonts w:ascii="仿宋_GB2312" w:hAnsi="仿宋" w:eastAsia="仿宋_GB2312"/>
                <w:sz w:val="24"/>
              </w:rPr>
            </w:pPr>
          </w:p>
          <w:p>
            <w:pPr>
              <w:spacing w:line="360" w:lineRule="exact"/>
              <w:rPr>
                <w:rFonts w:ascii="仿宋_GB2312" w:hAnsi="仿宋" w:eastAsia="仿宋_GB2312"/>
                <w:sz w:val="24"/>
              </w:rPr>
            </w:pPr>
          </w:p>
          <w:p>
            <w:pPr>
              <w:spacing w:line="360" w:lineRule="exact"/>
              <w:rPr>
                <w:rFonts w:ascii="仿宋_GB2312" w:hAnsi="仿宋" w:eastAsia="仿宋_GB2312"/>
                <w:sz w:val="24"/>
              </w:rPr>
            </w:pPr>
          </w:p>
          <w:p>
            <w:pPr>
              <w:spacing w:line="360" w:lineRule="exact"/>
              <w:rPr>
                <w:rFonts w:ascii="仿宋_GB2312" w:hAnsi="仿宋" w:eastAsia="仿宋_GB2312"/>
                <w:sz w:val="24"/>
              </w:rPr>
            </w:pPr>
          </w:p>
          <w:p>
            <w:pPr>
              <w:spacing w:line="360" w:lineRule="exact"/>
              <w:rPr>
                <w:rFonts w:ascii="仿宋_GB2312" w:hAnsi="仿宋" w:eastAsia="仿宋_GB2312"/>
                <w:sz w:val="24"/>
              </w:rPr>
            </w:pPr>
          </w:p>
          <w:p>
            <w:pPr>
              <w:spacing w:line="360" w:lineRule="exact"/>
              <w:rPr>
                <w:rFonts w:ascii="仿宋_GB2312" w:hAnsi="仿宋" w:eastAsia="仿宋_GB2312"/>
                <w:sz w:val="24"/>
              </w:rPr>
            </w:pPr>
          </w:p>
          <w:p>
            <w:pPr>
              <w:spacing w:line="360" w:lineRule="exact"/>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atLeast"/>
        </w:trPr>
        <w:tc>
          <w:tcPr>
            <w:tcW w:w="9555"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仿宋_GB2312" w:hAnsi="仿宋" w:eastAsia="仿宋_GB2312" w:cs="仿宋"/>
                <w:sz w:val="24"/>
              </w:rPr>
            </w:pPr>
            <w:r>
              <w:rPr>
                <w:rFonts w:hint="eastAsia" w:ascii="仿宋_GB2312" w:hAnsi="仿宋" w:eastAsia="仿宋_GB2312" w:cs="仿宋"/>
                <w:sz w:val="24"/>
              </w:rPr>
              <w:t>有关研究基础和前期研究成果（800字以上，需要提供相关证明资料）</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Chars="0" w:right="0" w:rightChars="0" w:firstLine="480" w:firstLineChars="200"/>
              <w:jc w:val="left"/>
              <w:rPr>
                <w:rFonts w:hint="eastAsia" w:ascii="仿宋_GB2312" w:hAnsi="仿宋_GB2312" w:eastAsia="仿宋_GB2312" w:cs="仿宋_GB2312"/>
                <w:i w:val="0"/>
                <w:iCs w:val="0"/>
                <w:caps w:val="0"/>
                <w:color w:val="000000" w:themeColor="text1"/>
                <w:spacing w:val="0"/>
                <w:sz w:val="24"/>
                <w:szCs w:val="24"/>
                <w:shd w:val="clear" w:fill="FDFDFE"/>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DFDFE"/>
                <w14:textFill>
                  <w14:solidFill>
                    <w14:schemeClr w14:val="tx1"/>
                  </w14:solidFill>
                </w14:textFill>
              </w:rPr>
              <w:t>首席质量官（Chief Quality Officer, CQO）制度是现代企业管理制度中的重要内容，其研究基础和研究成果广泛而深入。首席质量官制度的出现是质量管理在企业中地位不断提升的结果</w:t>
            </w:r>
            <w:r>
              <w:rPr>
                <w:rFonts w:hint="eastAsia" w:ascii="仿宋_GB2312" w:hAnsi="仿宋_GB2312" w:eastAsia="仿宋_GB2312" w:cs="仿宋_GB2312"/>
                <w:i w:val="0"/>
                <w:iCs w:val="0"/>
                <w:caps w:val="0"/>
                <w:color w:val="000000" w:themeColor="text1"/>
                <w:spacing w:val="0"/>
                <w:sz w:val="24"/>
                <w:szCs w:val="24"/>
                <w:shd w:val="clear" w:fill="FDFDFE"/>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DFDFE"/>
                <w14:textFill>
                  <w14:solidFill>
                    <w14:schemeClr w14:val="tx1"/>
                  </w14:solidFill>
                </w14:textFill>
              </w:rPr>
              <w:t>自</w:t>
            </w:r>
            <w:r>
              <w:rPr>
                <w:rFonts w:hint="eastAsia" w:hAnsi="仿宋_GB2312" w:cs="仿宋_GB2312"/>
                <w:i w:val="0"/>
                <w:iCs w:val="0"/>
                <w:caps w:val="0"/>
                <w:color w:val="000000" w:themeColor="text1"/>
                <w:spacing w:val="0"/>
                <w:sz w:val="24"/>
                <w:szCs w:val="24"/>
                <w:shd w:val="clear" w:fill="FDFDFE"/>
                <w:lang w:eastAsia="zh-CN"/>
                <w14:textFill>
                  <w14:solidFill>
                    <w14:schemeClr w14:val="tx1"/>
                  </w14:solidFill>
                </w14:textFill>
              </w:rPr>
              <w:t>20世纪</w:t>
            </w:r>
            <w:r>
              <w:rPr>
                <w:rFonts w:hint="eastAsia" w:ascii="仿宋_GB2312" w:hAnsi="仿宋_GB2312" w:eastAsia="仿宋_GB2312" w:cs="仿宋_GB2312"/>
                <w:i w:val="0"/>
                <w:iCs w:val="0"/>
                <w:caps w:val="0"/>
                <w:color w:val="000000" w:themeColor="text1"/>
                <w:spacing w:val="0"/>
                <w:sz w:val="24"/>
                <w:szCs w:val="24"/>
                <w:shd w:val="clear" w:fill="FDFDFE"/>
                <w14:textFill>
                  <w14:solidFill>
                    <w14:schemeClr w14:val="tx1"/>
                  </w14:solidFill>
                </w14:textFill>
              </w:rPr>
              <w:t>60年代以来，质量逐渐成为企业管理的核心议题之一，质量职位从职能部门经理逐渐演变为总监级，进而到首席级。国内外学者如布兰顿·戈弗雷、格雷格·哈钦斯等的研究表明，质量职能在1980至2000年间经历了爆炸式增长，成为企业管理的关键部分。</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Chars="0" w:right="0" w:rightChars="0" w:firstLine="480" w:firstLineChars="200"/>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DFDFE"/>
                <w14:textFill>
                  <w14:solidFill>
                    <w14:schemeClr w14:val="tx1"/>
                  </w14:solidFill>
                </w14:textFill>
              </w:rPr>
              <w:t>国家高度重视首席质量官制度推进工作，早在2012年《国务院办公厅关于印发贯彻实施质量发展纲要2012年行动计划的通知》（国办发〔2012〕27号）中就要求“在部分大中型企业率先试行首席质量官”，同年原国家质量监督检验检疫总局在全国开展企业首席质量官制度试点工作，鼓励和引导企业设立首席质量官。2023年2月，中共中央、国务院印发《质量强国建设纲要》，明确要求“健全企业首席质量官制度”。</w:t>
            </w:r>
            <w:r>
              <w:rPr>
                <w:rFonts w:hint="eastAsia" w:ascii="仿宋_GB2312" w:hAnsi="仿宋_GB2312" w:eastAsia="仿宋_GB2312" w:cs="仿宋_GB2312"/>
                <w:i w:val="0"/>
                <w:iCs w:val="0"/>
                <w:caps w:val="0"/>
                <w:color w:val="000000" w:themeColor="text1"/>
                <w:spacing w:val="0"/>
                <w:sz w:val="24"/>
                <w:szCs w:val="24"/>
                <w:shd w:val="clear" w:fill="FDFDFE"/>
                <w:lang w:val="en-US" w:eastAsia="zh-CN"/>
                <w14:textFill>
                  <w14:solidFill>
                    <w14:schemeClr w14:val="tx1"/>
                  </w14:solidFill>
                </w14:textFill>
              </w:rPr>
              <w:t>近年来，</w:t>
            </w:r>
            <w:r>
              <w:rPr>
                <w:rFonts w:hint="eastAsia" w:ascii="仿宋_GB2312" w:hAnsi="仿宋_GB2312" w:eastAsia="仿宋_GB2312" w:cs="仿宋_GB2312"/>
                <w:i w:val="0"/>
                <w:iCs w:val="0"/>
                <w:caps w:val="0"/>
                <w:color w:val="000000" w:themeColor="text1"/>
                <w:spacing w:val="0"/>
                <w:sz w:val="24"/>
                <w:szCs w:val="24"/>
                <w:shd w:val="clear" w:fill="FDFDFE"/>
                <w14:textFill>
                  <w14:solidFill>
                    <w14:schemeClr w14:val="tx1"/>
                  </w14:solidFill>
                </w14:textFill>
              </w:rPr>
              <w:t>随着市场竞争的加剧和消费者对产品质量要求的提高，企业越来越需要高层次的质量管理人才来引领质量管理工作。国内外许多成功企业如丰田、马应龙药业等通过设立首席质量官制度，实现了质量管理的显著提升和企业的持续发展。</w:t>
            </w:r>
          </w:p>
          <w:p>
            <w:pPr>
              <w:keepNext w:val="0"/>
              <w:keepLines w:val="0"/>
              <w:pageBreakBefore w:val="0"/>
              <w:kinsoku/>
              <w:wordWrap/>
              <w:overflowPunct/>
              <w:topLinePunct w:val="0"/>
              <w:autoSpaceDE/>
              <w:autoSpaceDN/>
              <w:bidi w:val="0"/>
              <w:adjustRightInd/>
              <w:snapToGrid/>
              <w:spacing w:line="360" w:lineRule="auto"/>
              <w:ind w:left="0" w:leftChars="0" w:firstLine="504" w:firstLineChars="200"/>
              <w:textAlignment w:val="auto"/>
              <w:rPr>
                <w:rFonts w:ascii="仿宋_GB2312" w:hAnsi="仿宋" w:eastAsia="仿宋_GB2312"/>
                <w:sz w:val="24"/>
              </w:rPr>
            </w:pPr>
            <w:r>
              <w:rPr>
                <w:rFonts w:hint="eastAsia" w:ascii="仿宋_GB2312" w:hAnsi="仿宋" w:eastAsia="仿宋_GB2312"/>
                <w:color w:val="000000" w:themeColor="text1"/>
                <w:sz w:val="24"/>
                <w:szCs w:val="24"/>
                <w14:textFill>
                  <w14:solidFill>
                    <w14:schemeClr w14:val="tx1"/>
                  </w14:solidFill>
                </w14:textFill>
              </w:rPr>
              <w:t>巴彦淖尔市市场监督管理局充分贯彻“落实企业质量主体责任，建立企业质量首负责任制，开展企业首席质量官制度试点，鼓励和引导企业设立首席质量官”的有关要求，积极探索以多种形式推动开展首席质量官制度的试点建设、人才培育等工作，取得了良好的社会效应和经济效益。目前，全市已有200多家企业设置首席质量官，企业质量意识进一步增强，企业质量水平得到有效提升。</w:t>
            </w:r>
            <w:r>
              <w:rPr>
                <w:rFonts w:hint="eastAsia" w:ascii="Times New Roman" w:hAnsi="Times New Roman" w:eastAsia="仿宋_GB2312" w:cs="Times New Roman"/>
                <w:bCs/>
                <w:color w:val="000000" w:themeColor="text1"/>
                <w:sz w:val="24"/>
                <w:szCs w:val="24"/>
                <w:lang w:val="en-US" w:eastAsia="zh-CN"/>
                <w14:textFill>
                  <w14:solidFill>
                    <w14:schemeClr w14:val="tx1"/>
                  </w14:solidFill>
                </w14:textFill>
              </w:rPr>
              <w:t>企业首席质量官制度的落地实施，对地区企业提升质量管理水平、增强质量竞争力，以及促进行业、地区质量发展方面发挥了重要作用</w:t>
            </w:r>
            <w:r>
              <w:rPr>
                <w:rFonts w:hint="eastAsia" w:eastAsia="仿宋_GB2312" w:cs="Times New Roman"/>
                <w:bCs/>
                <w:color w:val="000000" w:themeColor="text1"/>
                <w:sz w:val="24"/>
                <w:szCs w:val="24"/>
                <w:lang w:val="en-US" w:eastAsia="zh-CN"/>
                <w14:textFill>
                  <w14:solidFill>
                    <w14:schemeClr w14:val="tx1"/>
                  </w14:solidFill>
                </w14:textFill>
              </w:rPr>
              <w:t>。</w:t>
            </w:r>
            <w:r>
              <w:rPr>
                <w:rFonts w:hint="eastAsia" w:ascii="Times New Roman" w:hAnsi="Times New Roman" w:eastAsia="仿宋_GB2312" w:cs="Times New Roman"/>
                <w:bCs/>
                <w:color w:val="000000" w:themeColor="text1"/>
                <w:sz w:val="24"/>
                <w:szCs w:val="24"/>
                <w:lang w:val="en-US" w:eastAsia="zh-CN"/>
                <w14:textFill>
                  <w14:solidFill>
                    <w14:schemeClr w14:val="tx1"/>
                  </w14:solidFill>
                </w14:textFill>
              </w:rPr>
              <w:t>同时，在推进实施</w:t>
            </w:r>
            <w:r>
              <w:rPr>
                <w:rFonts w:hint="eastAsia" w:ascii="Times New Roman" w:hAnsi="Times New Roman" w:eastAsia="仿宋_GB2312" w:cs="Times New Roman"/>
                <w:bCs/>
                <w:color w:val="000000" w:themeColor="text1"/>
                <w:sz w:val="24"/>
                <w:szCs w:val="24"/>
                <w14:textFill>
                  <w14:solidFill>
                    <w14:schemeClr w14:val="tx1"/>
                  </w14:solidFill>
                </w14:textFill>
              </w:rPr>
              <w:t>企业</w:t>
            </w:r>
            <w:r>
              <w:rPr>
                <w:rFonts w:hint="eastAsia" w:ascii="Times New Roman" w:hAnsi="Times New Roman" w:eastAsia="仿宋_GB2312" w:cs="Times New Roman"/>
                <w:bCs/>
                <w:color w:val="000000" w:themeColor="text1"/>
                <w:sz w:val="24"/>
                <w:szCs w:val="24"/>
                <w:lang w:val="en-US" w:eastAsia="zh-CN"/>
                <w14:textFill>
                  <w14:solidFill>
                    <w14:schemeClr w14:val="tx1"/>
                  </w14:solidFill>
                </w14:textFill>
              </w:rPr>
              <w:t>首席质量官制度的工作实践中，也暴露出了目前</w:t>
            </w:r>
            <w:r>
              <w:rPr>
                <w:rFonts w:hint="eastAsia" w:eastAsia="仿宋_GB2312" w:cs="Times New Roman"/>
                <w:bCs/>
                <w:color w:val="000000" w:themeColor="text1"/>
                <w:sz w:val="24"/>
                <w:szCs w:val="24"/>
                <w:lang w:val="en-US" w:eastAsia="zh-CN"/>
                <w14:textFill>
                  <w14:solidFill>
                    <w14:schemeClr w14:val="tx1"/>
                  </w14:solidFill>
                </w14:textFill>
              </w:rPr>
              <w:t>地区</w:t>
            </w:r>
            <w:r>
              <w:rPr>
                <w:rFonts w:hint="eastAsia" w:ascii="Times New Roman" w:hAnsi="Times New Roman" w:eastAsia="仿宋_GB2312" w:cs="Times New Roman"/>
                <w:bCs/>
                <w:color w:val="000000" w:themeColor="text1"/>
                <w:sz w:val="24"/>
                <w:szCs w:val="24"/>
                <w:lang w:val="en-US" w:eastAsia="zh-CN"/>
                <w14:textFill>
                  <w14:solidFill>
                    <w14:schemeClr w14:val="tx1"/>
                  </w14:solidFill>
                </w14:textFill>
              </w:rPr>
              <w:t>首席质量官水平参差不齐、缺乏针对企业首席质量官制度的规范指导等问题，</w:t>
            </w:r>
            <w:r>
              <w:rPr>
                <w:rFonts w:hint="eastAsia" w:eastAsia="仿宋_GB2312" w:cs="Times New Roman"/>
                <w:bCs/>
                <w:color w:val="000000" w:themeColor="text1"/>
                <w:sz w:val="24"/>
                <w:szCs w:val="24"/>
                <w:lang w:val="en-US" w:eastAsia="zh-CN"/>
                <w14:textFill>
                  <w14:solidFill>
                    <w14:schemeClr w14:val="tx1"/>
                  </w14:solidFill>
                </w14:textFill>
              </w:rPr>
              <w:t>亟须建立</w:t>
            </w:r>
            <w:r>
              <w:rPr>
                <w:rFonts w:hint="eastAsia" w:ascii="Times New Roman" w:hAnsi="Times New Roman" w:eastAsia="仿宋_GB2312" w:cs="Times New Roman"/>
                <w:bCs/>
                <w:color w:val="000000" w:themeColor="text1"/>
                <w:sz w:val="24"/>
                <w:szCs w:val="24"/>
                <w:lang w:val="en-US" w:eastAsia="zh-CN"/>
                <w14:textFill>
                  <w14:solidFill>
                    <w14:schemeClr w14:val="tx1"/>
                  </w14:solidFill>
                </w14:textFill>
              </w:rPr>
              <w:t>配套标准予以引导和规范。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atLeast"/>
        </w:trPr>
        <w:tc>
          <w:tcPr>
            <w:tcW w:w="9555"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hAnsi="仿宋" w:eastAsia="仿宋_GB2312"/>
                <w:sz w:val="24"/>
              </w:rPr>
            </w:pPr>
            <w:r>
              <w:rPr>
                <w:rFonts w:hint="eastAsia" w:ascii="仿宋_GB2312" w:hAnsi="仿宋" w:eastAsia="仿宋_GB2312" w:cs="仿宋"/>
                <w:sz w:val="24"/>
              </w:rPr>
              <w:t>必要的试验验证数据及统计分析（需要提供相关证明资料）：</w:t>
            </w:r>
          </w:p>
          <w:p>
            <w:pPr>
              <w:spacing w:line="360" w:lineRule="exact"/>
              <w:rPr>
                <w:rFonts w:ascii="仿宋_GB2312" w:hAnsi="仿宋" w:eastAsia="仿宋_GB2312"/>
                <w:sz w:val="24"/>
              </w:rPr>
            </w:pPr>
          </w:p>
          <w:p>
            <w:pPr>
              <w:spacing w:line="360" w:lineRule="exact"/>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atLeast"/>
        </w:trPr>
        <w:tc>
          <w:tcPr>
            <w:tcW w:w="9555"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hAnsi="仿宋" w:eastAsia="仿宋_GB2312"/>
                <w:sz w:val="24"/>
              </w:rPr>
            </w:pPr>
            <w:r>
              <w:rPr>
                <w:rFonts w:hint="eastAsia" w:ascii="仿宋_GB2312" w:hAnsi="仿宋" w:eastAsia="仿宋_GB2312" w:cs="仿宋"/>
                <w:sz w:val="24"/>
              </w:rPr>
              <w:t>标准是否涉及专利、商标等知识产权问题：</w:t>
            </w:r>
          </w:p>
          <w:p>
            <w:pPr>
              <w:spacing w:line="360" w:lineRule="exact"/>
              <w:rPr>
                <w:rFonts w:hint="eastAsia" w:ascii="仿宋_GB2312" w:hAnsi="仿宋" w:eastAsia="仿宋_GB2312"/>
                <w:sz w:val="24"/>
                <w:lang w:val="en-US" w:eastAsia="zh-CN"/>
              </w:rPr>
            </w:pPr>
            <w:r>
              <w:rPr>
                <w:rFonts w:hint="eastAsia" w:hAnsi="仿宋"/>
                <w:sz w:val="24"/>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73" w:hRule="atLeast"/>
        </w:trPr>
        <w:tc>
          <w:tcPr>
            <w:tcW w:w="9555" w:type="dxa"/>
            <w:gridSpan w:val="3"/>
            <w:tcBorders>
              <w:top w:val="single" w:color="auto" w:sz="4" w:space="0"/>
              <w:left w:val="single" w:color="auto" w:sz="4" w:space="0"/>
              <w:bottom w:val="single" w:color="auto" w:sz="4" w:space="0"/>
              <w:right w:val="single" w:color="auto" w:sz="4" w:space="0"/>
            </w:tcBorders>
          </w:tcPr>
          <w:p>
            <w:pPr>
              <w:spacing w:line="360" w:lineRule="exact"/>
              <w:rPr>
                <w:rFonts w:ascii="仿宋_GB2312" w:hAnsi="仿宋" w:eastAsia="仿宋_GB2312" w:cs="仿宋"/>
                <w:sz w:val="24"/>
              </w:rPr>
            </w:pPr>
            <w:r>
              <w:rPr>
                <w:rFonts w:hint="eastAsia" w:ascii="仿宋_GB2312" w:hAnsi="仿宋" w:eastAsia="仿宋_GB2312" w:cs="仿宋"/>
                <w:sz w:val="24"/>
              </w:rPr>
              <w:t xml:space="preserve">技术归口单位或专业标准化技术委员会审核意见（或聘请同行专家审核意见）： </w:t>
            </w:r>
          </w:p>
          <w:p>
            <w:pPr>
              <w:spacing w:line="360" w:lineRule="exact"/>
              <w:rPr>
                <w:rFonts w:ascii="仿宋_GB2312" w:hAnsi="仿宋" w:eastAsia="仿宋_GB2312" w:cs="仿宋"/>
                <w:sz w:val="24"/>
              </w:rPr>
            </w:pPr>
          </w:p>
          <w:p>
            <w:pPr>
              <w:spacing w:line="360" w:lineRule="exact"/>
              <w:rPr>
                <w:rFonts w:ascii="仿宋_GB2312" w:hAnsi="仿宋" w:eastAsia="仿宋_GB2312" w:cs="仿宋"/>
                <w:sz w:val="24"/>
              </w:rPr>
            </w:pPr>
          </w:p>
          <w:p>
            <w:pPr>
              <w:spacing w:line="360" w:lineRule="exact"/>
              <w:ind w:firstLine="5166" w:firstLineChars="2050"/>
              <w:rPr>
                <w:rFonts w:ascii="仿宋_GB2312" w:hAnsi="仿宋" w:eastAsia="仿宋_GB2312"/>
                <w:sz w:val="24"/>
              </w:rPr>
            </w:pPr>
            <w:r>
              <w:rPr>
                <w:rFonts w:hint="eastAsia" w:ascii="仿宋_GB2312" w:hAnsi="仿宋" w:eastAsia="仿宋_GB2312" w:cs="仿宋"/>
                <w:sz w:val="24"/>
              </w:rPr>
              <w:t>盖章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14" w:hRule="atLeast"/>
        </w:trPr>
        <w:tc>
          <w:tcPr>
            <w:tcW w:w="28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 w:eastAsia="仿宋_GB2312"/>
                <w:sz w:val="24"/>
              </w:rPr>
            </w:pPr>
            <w:r>
              <w:rPr>
                <w:rFonts w:hint="eastAsia" w:ascii="仿宋_GB2312" w:hAnsi="仿宋" w:eastAsia="仿宋_GB2312" w:cs="仿宋"/>
                <w:sz w:val="24"/>
              </w:rPr>
              <w:t>提出单位意见：</w:t>
            </w: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r>
              <w:rPr>
                <w:rFonts w:hint="eastAsia" w:ascii="仿宋_GB2312" w:hAnsi="仿宋" w:eastAsia="仿宋_GB2312" w:cs="仿宋"/>
                <w:sz w:val="24"/>
              </w:rPr>
              <w:t>盖章      年  月  日</w:t>
            </w:r>
          </w:p>
        </w:tc>
        <w:tc>
          <w:tcPr>
            <w:tcW w:w="324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 w:eastAsia="仿宋_GB2312"/>
                <w:sz w:val="24"/>
              </w:rPr>
            </w:pPr>
            <w:r>
              <w:rPr>
                <w:rFonts w:hint="eastAsia" w:ascii="仿宋_GB2312" w:hAnsi="仿宋" w:eastAsia="仿宋_GB2312" w:cs="仿宋"/>
                <w:sz w:val="24"/>
              </w:rPr>
              <w:t>行业主管部门意见：</w:t>
            </w: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r>
              <w:rPr>
                <w:rFonts w:hint="eastAsia" w:ascii="仿宋_GB2312" w:hAnsi="仿宋" w:eastAsia="仿宋_GB2312" w:cs="仿宋"/>
                <w:sz w:val="24"/>
              </w:rPr>
              <w:t>盖章       年  月  日</w:t>
            </w:r>
          </w:p>
        </w:tc>
        <w:tc>
          <w:tcPr>
            <w:tcW w:w="3464" w:type="dxa"/>
            <w:tcBorders>
              <w:top w:val="single" w:color="auto" w:sz="4" w:space="0"/>
              <w:left w:val="single" w:color="auto" w:sz="4" w:space="0"/>
              <w:bottom w:val="single" w:color="auto" w:sz="4" w:space="0"/>
              <w:right w:val="single" w:color="auto" w:sz="4" w:space="0"/>
            </w:tcBorders>
          </w:tcPr>
          <w:p>
            <w:pPr>
              <w:spacing w:line="360" w:lineRule="exact"/>
              <w:jc w:val="center"/>
              <w:rPr>
                <w:rFonts w:ascii="仿宋_GB2312" w:hAnsi="仿宋" w:eastAsia="仿宋_GB2312"/>
                <w:sz w:val="24"/>
              </w:rPr>
            </w:pPr>
            <w:r>
              <w:rPr>
                <w:rFonts w:hint="eastAsia" w:hAnsi="仿宋" w:cs="仿宋"/>
                <w:sz w:val="24"/>
                <w:lang w:eastAsia="zh-CN"/>
              </w:rPr>
              <w:t>市</w:t>
            </w:r>
            <w:r>
              <w:rPr>
                <w:rFonts w:hint="eastAsia" w:ascii="仿宋_GB2312" w:hAnsi="仿宋" w:eastAsia="仿宋_GB2312" w:cs="仿宋"/>
                <w:sz w:val="24"/>
              </w:rPr>
              <w:t>标准化主管部门意见：</w:t>
            </w: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p>
          <w:p>
            <w:pPr>
              <w:spacing w:line="360" w:lineRule="exact"/>
              <w:jc w:val="center"/>
              <w:rPr>
                <w:rFonts w:ascii="仿宋_GB2312" w:hAnsi="仿宋" w:eastAsia="仿宋_GB2312"/>
                <w:sz w:val="24"/>
              </w:rPr>
            </w:pPr>
          </w:p>
          <w:p>
            <w:pPr>
              <w:spacing w:line="360" w:lineRule="exact"/>
              <w:rPr>
                <w:rFonts w:ascii="仿宋_GB2312" w:hAnsi="仿宋" w:eastAsia="仿宋_GB2312"/>
                <w:sz w:val="24"/>
              </w:rPr>
            </w:pPr>
            <w:r>
              <w:rPr>
                <w:rFonts w:hint="eastAsia" w:ascii="仿宋_GB2312" w:hAnsi="仿宋" w:eastAsia="仿宋_GB2312" w:cs="仿宋"/>
                <w:sz w:val="24"/>
              </w:rPr>
              <w:t>盖章          年  月  日</w:t>
            </w:r>
          </w:p>
        </w:tc>
      </w:tr>
    </w:tbl>
    <w:p>
      <w:pPr>
        <w:widowControl/>
        <w:jc w:val="left"/>
        <w:rPr>
          <w:rFonts w:ascii="仿宋_GB2312" w:hAnsi="黑体" w:eastAsia="仿宋_GB2312"/>
        </w:rPr>
        <w:sectPr>
          <w:footerReference r:id="rId3" w:type="default"/>
          <w:footerReference r:id="rId4" w:type="even"/>
          <w:pgSz w:w="11906" w:h="16838"/>
          <w:pgMar w:top="2098" w:right="1474" w:bottom="1985" w:left="1588" w:header="851" w:footer="992" w:gutter="0"/>
          <w:pgNumType w:fmt="numberInDash" w:start="1"/>
          <w:cols w:space="720" w:num="1"/>
          <w:titlePg/>
          <w:docGrid w:linePitch="286" w:charSpace="0"/>
        </w:sectPr>
      </w:pPr>
    </w:p>
    <w:p>
      <w:pPr>
        <w:spacing w:line="600" w:lineRule="exact"/>
        <w:jc w:val="center"/>
        <w:rPr>
          <w:rFonts w:ascii="方正小标宋简体" w:hAnsi="宋体" w:eastAsia="方正小标宋简体" w:cs="Times New Roman"/>
          <w:spacing w:val="20"/>
          <w:sz w:val="44"/>
          <w:szCs w:val="44"/>
        </w:rPr>
      </w:pPr>
      <w:r>
        <w:rPr>
          <w:rFonts w:hint="eastAsia" w:ascii="方正小标宋简体" w:hAnsi="宋体" w:eastAsia="方正小标宋简体" w:cs="方正小标宋简体"/>
          <w:spacing w:val="20"/>
          <w:sz w:val="44"/>
          <w:szCs w:val="44"/>
        </w:rPr>
        <w:t>填</w:t>
      </w:r>
      <w:r>
        <w:rPr>
          <w:rFonts w:ascii="方正小标宋简体" w:hAnsi="宋体" w:eastAsia="方正小标宋简体" w:cs="方正小标宋简体"/>
          <w:spacing w:val="20"/>
          <w:sz w:val="44"/>
          <w:szCs w:val="44"/>
        </w:rPr>
        <w:t xml:space="preserve"> </w:t>
      </w:r>
      <w:r>
        <w:rPr>
          <w:rFonts w:hint="eastAsia" w:ascii="方正小标宋简体" w:hAnsi="宋体" w:eastAsia="方正小标宋简体" w:cs="方正小标宋简体"/>
          <w:spacing w:val="20"/>
          <w:sz w:val="44"/>
          <w:szCs w:val="44"/>
        </w:rPr>
        <w:t>写</w:t>
      </w:r>
      <w:r>
        <w:rPr>
          <w:rFonts w:ascii="方正小标宋简体" w:hAnsi="宋体" w:eastAsia="方正小标宋简体" w:cs="方正小标宋简体"/>
          <w:spacing w:val="20"/>
          <w:sz w:val="44"/>
          <w:szCs w:val="44"/>
        </w:rPr>
        <w:t xml:space="preserve"> </w:t>
      </w:r>
      <w:r>
        <w:rPr>
          <w:rFonts w:hint="eastAsia" w:ascii="方正小标宋简体" w:hAnsi="宋体" w:eastAsia="方正小标宋简体" w:cs="方正小标宋简体"/>
          <w:spacing w:val="20"/>
          <w:sz w:val="44"/>
          <w:szCs w:val="44"/>
        </w:rPr>
        <w:t>指</w:t>
      </w:r>
      <w:r>
        <w:rPr>
          <w:rFonts w:ascii="方正小标宋简体" w:hAnsi="宋体" w:eastAsia="方正小标宋简体" w:cs="方正小标宋简体"/>
          <w:spacing w:val="20"/>
          <w:sz w:val="44"/>
          <w:szCs w:val="44"/>
        </w:rPr>
        <w:t xml:space="preserve"> </w:t>
      </w:r>
      <w:r>
        <w:rPr>
          <w:rFonts w:hint="eastAsia" w:ascii="方正小标宋简体" w:hAnsi="宋体" w:eastAsia="方正小标宋简体" w:cs="方正小标宋简体"/>
          <w:spacing w:val="20"/>
          <w:sz w:val="44"/>
          <w:szCs w:val="44"/>
        </w:rPr>
        <w:t>南</w:t>
      </w:r>
    </w:p>
    <w:p>
      <w:pPr>
        <w:rPr>
          <w:rFonts w:ascii="宋体" w:hAnsi="宋体" w:eastAsia="宋体" w:cs="Times New Roman"/>
          <w:sz w:val="18"/>
          <w:szCs w:val="18"/>
        </w:rPr>
      </w:pPr>
    </w:p>
    <w:p>
      <w:pPr>
        <w:numPr>
          <w:ilvl w:val="1"/>
          <w:numId w:val="2"/>
        </w:numPr>
        <w:tabs>
          <w:tab w:val="left" w:pos="-214"/>
          <w:tab w:val="left" w:pos="900"/>
        </w:tabs>
        <w:spacing w:line="460" w:lineRule="exact"/>
        <w:ind w:left="0" w:firstLine="586" w:firstLineChars="200"/>
        <w:rPr>
          <w:rFonts w:ascii="仿宋" w:hAnsi="仿宋" w:eastAsia="仿宋" w:cs="Times New Roman"/>
          <w:sz w:val="28"/>
          <w:szCs w:val="28"/>
        </w:rPr>
      </w:pPr>
      <w:r>
        <w:rPr>
          <w:rFonts w:hint="eastAsia" w:ascii="仿宋" w:hAnsi="仿宋" w:eastAsia="仿宋" w:cs="仿宋"/>
          <w:b/>
          <w:bCs/>
          <w:sz w:val="28"/>
          <w:szCs w:val="28"/>
        </w:rPr>
        <w:t>必要性：</w:t>
      </w:r>
      <w:r>
        <w:rPr>
          <w:rFonts w:hint="eastAsia" w:ascii="仿宋" w:hAnsi="仿宋" w:eastAsia="仿宋" w:cs="仿宋"/>
          <w:sz w:val="28"/>
          <w:szCs w:val="28"/>
        </w:rPr>
        <w:t>阐明立项的必要性，不少于</w:t>
      </w:r>
      <w:r>
        <w:rPr>
          <w:rFonts w:ascii="仿宋" w:hAnsi="仿宋" w:eastAsia="仿宋" w:cs="仿宋"/>
          <w:sz w:val="28"/>
          <w:szCs w:val="28"/>
        </w:rPr>
        <w:t>800</w:t>
      </w:r>
      <w:r>
        <w:rPr>
          <w:rFonts w:hint="eastAsia" w:ascii="仿宋" w:hAnsi="仿宋" w:eastAsia="仿宋" w:cs="仿宋"/>
          <w:sz w:val="28"/>
          <w:szCs w:val="28"/>
        </w:rPr>
        <w:t>字。说明标准是否在全</w:t>
      </w:r>
      <w:r>
        <w:rPr>
          <w:rFonts w:hint="eastAsia" w:ascii="仿宋" w:hAnsi="仿宋" w:eastAsia="仿宋" w:cs="仿宋"/>
          <w:sz w:val="28"/>
          <w:szCs w:val="28"/>
          <w:lang w:eastAsia="zh-CN"/>
        </w:rPr>
        <w:t>市</w:t>
      </w:r>
      <w:r>
        <w:rPr>
          <w:rFonts w:hint="eastAsia" w:ascii="仿宋" w:hAnsi="仿宋" w:eastAsia="仿宋" w:cs="仿宋"/>
          <w:sz w:val="28"/>
          <w:szCs w:val="28"/>
        </w:rPr>
        <w:t>范围内具有普遍性，涉及全</w:t>
      </w:r>
      <w:r>
        <w:rPr>
          <w:rFonts w:hint="eastAsia" w:ascii="仿宋" w:hAnsi="仿宋" w:eastAsia="仿宋" w:cs="仿宋"/>
          <w:sz w:val="28"/>
          <w:szCs w:val="28"/>
          <w:lang w:eastAsia="zh-CN"/>
        </w:rPr>
        <w:t>市</w:t>
      </w:r>
      <w:r>
        <w:rPr>
          <w:rFonts w:hint="eastAsia" w:ascii="仿宋" w:hAnsi="仿宋" w:eastAsia="仿宋" w:cs="仿宋"/>
          <w:sz w:val="28"/>
          <w:szCs w:val="28"/>
        </w:rPr>
        <w:t>性的关键共性技术，标准的实施主体具有广泛的社会性；标准涉及的内容是否属于自治</w:t>
      </w:r>
      <w:r>
        <w:rPr>
          <w:rFonts w:hint="eastAsia" w:ascii="仿宋" w:hAnsi="仿宋" w:eastAsia="仿宋" w:cs="仿宋"/>
          <w:sz w:val="28"/>
          <w:szCs w:val="28"/>
          <w:lang w:eastAsia="zh-CN"/>
        </w:rPr>
        <w:t>市</w:t>
      </w:r>
      <w:r>
        <w:rPr>
          <w:rFonts w:hint="eastAsia" w:ascii="仿宋" w:hAnsi="仿宋" w:eastAsia="仿宋" w:cs="仿宋"/>
          <w:sz w:val="28"/>
          <w:szCs w:val="28"/>
        </w:rPr>
        <w:t>经济或社会发展的重点领域；是否列入相关行业重点工作任务；是否</w:t>
      </w:r>
      <w:r>
        <w:rPr>
          <w:rFonts w:hint="eastAsia" w:ascii="仿宋" w:hAnsi="仿宋" w:eastAsia="仿宋" w:cs="仿宋"/>
          <w:sz w:val="28"/>
          <w:szCs w:val="28"/>
          <w:lang w:eastAsia="zh-CN"/>
        </w:rPr>
        <w:t>列入市</w:t>
      </w:r>
      <w:r>
        <w:rPr>
          <w:rFonts w:hint="eastAsia" w:ascii="仿宋" w:hAnsi="仿宋" w:eastAsia="仿宋" w:cs="仿宋"/>
          <w:sz w:val="28"/>
          <w:szCs w:val="28"/>
        </w:rPr>
        <w:t>政府年度重点工作任务；是否能够通过制定该标准解决</w:t>
      </w:r>
      <w:r>
        <w:rPr>
          <w:rFonts w:hint="eastAsia" w:ascii="仿宋" w:hAnsi="仿宋" w:eastAsia="仿宋" w:cs="仿宋"/>
          <w:sz w:val="28"/>
          <w:szCs w:val="28"/>
          <w:lang w:eastAsia="zh-CN"/>
        </w:rPr>
        <w:t>市</w:t>
      </w:r>
      <w:r>
        <w:rPr>
          <w:rFonts w:hint="eastAsia" w:ascii="仿宋" w:hAnsi="仿宋" w:eastAsia="仿宋" w:cs="仿宋"/>
          <w:sz w:val="28"/>
          <w:szCs w:val="28"/>
        </w:rPr>
        <w:t>发展或管理中的难点问题等。是否属于有科研成果支撑的项目、与在研科研项目同步研制的项目、直接采用国际标准或国外先进标准的项目、需要修订的地方标准等。</w:t>
      </w:r>
    </w:p>
    <w:p>
      <w:pPr>
        <w:numPr>
          <w:ilvl w:val="1"/>
          <w:numId w:val="2"/>
        </w:numPr>
        <w:tabs>
          <w:tab w:val="left" w:pos="-214"/>
          <w:tab w:val="left" w:pos="900"/>
        </w:tabs>
        <w:spacing w:line="460" w:lineRule="exact"/>
        <w:ind w:left="0" w:firstLine="586" w:firstLineChars="200"/>
        <w:rPr>
          <w:rFonts w:ascii="仿宋" w:hAnsi="仿宋" w:eastAsia="仿宋" w:cs="Times New Roman"/>
          <w:sz w:val="28"/>
          <w:szCs w:val="28"/>
        </w:rPr>
      </w:pPr>
      <w:r>
        <w:rPr>
          <w:rFonts w:hint="eastAsia" w:ascii="仿宋" w:hAnsi="仿宋" w:eastAsia="仿宋" w:cs="仿宋"/>
          <w:b/>
          <w:bCs/>
          <w:sz w:val="28"/>
          <w:szCs w:val="28"/>
        </w:rPr>
        <w:t>可行性：</w:t>
      </w:r>
      <w:r>
        <w:rPr>
          <w:rFonts w:hint="eastAsia" w:ascii="仿宋" w:hAnsi="仿宋" w:eastAsia="仿宋" w:cs="仿宋"/>
          <w:sz w:val="28"/>
          <w:szCs w:val="28"/>
        </w:rPr>
        <w:t>阐明标准是否已经具备在全</w:t>
      </w:r>
      <w:r>
        <w:rPr>
          <w:rFonts w:hint="eastAsia" w:ascii="仿宋" w:hAnsi="仿宋" w:eastAsia="仿宋" w:cs="仿宋"/>
          <w:sz w:val="28"/>
          <w:szCs w:val="28"/>
          <w:lang w:eastAsia="zh-CN"/>
        </w:rPr>
        <w:t>市</w:t>
      </w:r>
      <w:r>
        <w:rPr>
          <w:rFonts w:hint="eastAsia" w:ascii="仿宋" w:hAnsi="仿宋" w:eastAsia="仿宋" w:cs="仿宋"/>
          <w:sz w:val="28"/>
          <w:szCs w:val="28"/>
        </w:rPr>
        <w:t>范围内统一实施该标准的经济基础、社会基础以及技术基础，不少于</w:t>
      </w:r>
      <w:r>
        <w:rPr>
          <w:rFonts w:ascii="仿宋" w:hAnsi="仿宋" w:eastAsia="仿宋" w:cs="仿宋"/>
          <w:sz w:val="28"/>
          <w:szCs w:val="28"/>
        </w:rPr>
        <w:t>800</w:t>
      </w:r>
      <w:r>
        <w:rPr>
          <w:rFonts w:hint="eastAsia" w:ascii="仿宋" w:hAnsi="仿宋" w:eastAsia="仿宋" w:cs="仿宋"/>
          <w:sz w:val="28"/>
          <w:szCs w:val="28"/>
        </w:rPr>
        <w:t>字。</w:t>
      </w:r>
    </w:p>
    <w:p>
      <w:pPr>
        <w:numPr>
          <w:ilvl w:val="1"/>
          <w:numId w:val="2"/>
        </w:numPr>
        <w:tabs>
          <w:tab w:val="left" w:pos="-214"/>
          <w:tab w:val="left" w:pos="900"/>
        </w:tabs>
        <w:spacing w:line="460" w:lineRule="exact"/>
        <w:ind w:left="0" w:firstLine="586" w:firstLineChars="200"/>
        <w:rPr>
          <w:rFonts w:ascii="仿宋" w:hAnsi="仿宋" w:eastAsia="仿宋" w:cs="Times New Roman"/>
          <w:sz w:val="28"/>
          <w:szCs w:val="28"/>
        </w:rPr>
      </w:pPr>
      <w:r>
        <w:rPr>
          <w:rFonts w:hint="eastAsia" w:ascii="仿宋" w:hAnsi="仿宋" w:eastAsia="仿宋" w:cs="仿宋"/>
          <w:b/>
          <w:bCs/>
          <w:sz w:val="28"/>
          <w:szCs w:val="28"/>
        </w:rPr>
        <w:t>适用范围及主要技术内容：</w:t>
      </w:r>
      <w:r>
        <w:rPr>
          <w:rFonts w:hint="eastAsia" w:ascii="仿宋" w:hAnsi="仿宋" w:eastAsia="仿宋" w:cs="仿宋"/>
          <w:sz w:val="28"/>
          <w:szCs w:val="28"/>
        </w:rPr>
        <w:t>阐明拟制定标准主要内容的编写结构，至少应列出三级提纲，标准内容应以技术类为主，适当兼顾必要的管理类内容。</w:t>
      </w:r>
    </w:p>
    <w:p>
      <w:pPr>
        <w:numPr>
          <w:ilvl w:val="1"/>
          <w:numId w:val="2"/>
        </w:numPr>
        <w:tabs>
          <w:tab w:val="left" w:pos="-214"/>
          <w:tab w:val="left" w:pos="900"/>
        </w:tabs>
        <w:spacing w:line="460" w:lineRule="exact"/>
        <w:ind w:left="0" w:firstLine="586" w:firstLineChars="200"/>
        <w:rPr>
          <w:rFonts w:ascii="仿宋" w:hAnsi="仿宋" w:eastAsia="仿宋" w:cs="Times New Roman"/>
          <w:sz w:val="28"/>
          <w:szCs w:val="28"/>
        </w:rPr>
      </w:pPr>
      <w:r>
        <w:rPr>
          <w:rFonts w:hint="eastAsia" w:ascii="仿宋" w:hAnsi="仿宋" w:eastAsia="仿宋" w:cs="仿宋"/>
          <w:b/>
          <w:bCs/>
          <w:sz w:val="28"/>
          <w:szCs w:val="28"/>
        </w:rPr>
        <w:t>国内外情况简要说明：</w:t>
      </w:r>
      <w:r>
        <w:rPr>
          <w:rFonts w:hint="eastAsia" w:ascii="仿宋" w:hAnsi="仿宋" w:eastAsia="仿宋" w:cs="仿宋"/>
          <w:sz w:val="28"/>
          <w:szCs w:val="28"/>
        </w:rPr>
        <w:t>重点阐明与国内外相关标准的内容异同，即所制定的标准应没有相应的国家标准、行业标准、</w:t>
      </w:r>
      <w:r>
        <w:rPr>
          <w:rFonts w:hint="eastAsia" w:ascii="仿宋" w:hAnsi="仿宋" w:eastAsia="仿宋" w:cs="仿宋"/>
          <w:sz w:val="28"/>
          <w:szCs w:val="28"/>
          <w:lang w:eastAsia="zh-CN"/>
        </w:rPr>
        <w:t>巴彦淖尔市</w:t>
      </w:r>
      <w:r>
        <w:rPr>
          <w:rFonts w:hint="eastAsia" w:ascii="仿宋" w:hAnsi="仿宋" w:eastAsia="仿宋" w:cs="仿宋"/>
          <w:sz w:val="28"/>
          <w:szCs w:val="28"/>
        </w:rPr>
        <w:t>地方标准，法律、法规另有规定的从其规定。未被纳入国家标准、行业标准、</w:t>
      </w:r>
      <w:r>
        <w:rPr>
          <w:rFonts w:hint="eastAsia" w:ascii="仿宋" w:hAnsi="仿宋" w:eastAsia="仿宋" w:cs="仿宋"/>
          <w:sz w:val="28"/>
          <w:szCs w:val="28"/>
          <w:lang w:eastAsia="zh-CN"/>
        </w:rPr>
        <w:t>巴彦淖尔市</w:t>
      </w:r>
      <w:r>
        <w:rPr>
          <w:rFonts w:hint="eastAsia" w:ascii="仿宋" w:hAnsi="仿宋" w:eastAsia="仿宋" w:cs="仿宋"/>
          <w:sz w:val="28"/>
          <w:szCs w:val="28"/>
        </w:rPr>
        <w:t>地方标准制修订计划。如果已有相应的标准或计划而又确需申请地方标准立项的，应阐明与相应标准或计划的本质性区别，详细说明确需立项的理由。</w:t>
      </w:r>
    </w:p>
    <w:p>
      <w:pPr>
        <w:numPr>
          <w:ilvl w:val="1"/>
          <w:numId w:val="2"/>
        </w:numPr>
        <w:tabs>
          <w:tab w:val="left" w:pos="-214"/>
          <w:tab w:val="left" w:pos="900"/>
        </w:tabs>
        <w:spacing w:line="460" w:lineRule="exact"/>
        <w:ind w:left="0" w:firstLine="586" w:firstLineChars="200"/>
        <w:rPr>
          <w:rFonts w:ascii="仿宋" w:hAnsi="仿宋" w:eastAsia="仿宋" w:cs="Times New Roman"/>
          <w:sz w:val="28"/>
          <w:szCs w:val="28"/>
        </w:rPr>
      </w:pPr>
      <w:r>
        <w:rPr>
          <w:rFonts w:hint="eastAsia" w:ascii="仿宋" w:hAnsi="仿宋" w:eastAsia="仿宋" w:cs="仿宋"/>
          <w:b/>
          <w:bCs/>
          <w:sz w:val="28"/>
          <w:szCs w:val="28"/>
        </w:rPr>
        <w:t>工作计划：</w:t>
      </w:r>
      <w:r>
        <w:rPr>
          <w:rFonts w:hint="eastAsia" w:ascii="仿宋" w:hAnsi="仿宋" w:eastAsia="仿宋" w:cs="仿宋"/>
          <w:sz w:val="28"/>
          <w:szCs w:val="28"/>
        </w:rPr>
        <w:t>列出包括起草、征求意见、送审、报批等环节在内的工作进度计划。</w:t>
      </w:r>
    </w:p>
    <w:p>
      <w:pPr>
        <w:numPr>
          <w:ilvl w:val="1"/>
          <w:numId w:val="2"/>
        </w:numPr>
        <w:tabs>
          <w:tab w:val="left" w:pos="-214"/>
          <w:tab w:val="left" w:pos="900"/>
        </w:tabs>
        <w:spacing w:line="460" w:lineRule="exact"/>
        <w:ind w:left="0" w:firstLine="586" w:firstLineChars="200"/>
        <w:rPr>
          <w:rFonts w:ascii="仿宋" w:hAnsi="仿宋" w:eastAsia="仿宋" w:cs="Times New Roman"/>
          <w:sz w:val="28"/>
          <w:szCs w:val="28"/>
        </w:rPr>
      </w:pPr>
      <w:r>
        <w:rPr>
          <w:rFonts w:hint="eastAsia" w:ascii="仿宋" w:hAnsi="仿宋" w:eastAsia="仿宋" w:cs="仿宋"/>
          <w:b/>
          <w:bCs/>
          <w:sz w:val="28"/>
          <w:szCs w:val="28"/>
        </w:rPr>
        <w:t>保障措施：</w:t>
      </w:r>
      <w:r>
        <w:rPr>
          <w:rFonts w:hint="eastAsia" w:ascii="仿宋" w:hAnsi="仿宋" w:eastAsia="仿宋" w:cs="仿宋"/>
          <w:sz w:val="28"/>
          <w:szCs w:val="28"/>
        </w:rPr>
        <w:t>阐明主要起草单位为标准编制提供的人力、物力、财力保障。能够提供或已获得标准调查研究、试验验证、起草、征求意见、审查、宣贯培训、实施评估等所需的全部经费。</w:t>
      </w:r>
    </w:p>
    <w:p>
      <w:pPr>
        <w:numPr>
          <w:ilvl w:val="1"/>
          <w:numId w:val="2"/>
        </w:numPr>
        <w:tabs>
          <w:tab w:val="left" w:pos="-214"/>
          <w:tab w:val="left" w:pos="900"/>
        </w:tabs>
        <w:spacing w:line="460" w:lineRule="exact"/>
        <w:ind w:left="0" w:firstLine="586" w:firstLineChars="200"/>
        <w:rPr>
          <w:rFonts w:ascii="仿宋" w:hAnsi="仿宋" w:eastAsia="仿宋" w:cs="Times New Roman"/>
          <w:sz w:val="28"/>
          <w:szCs w:val="28"/>
        </w:rPr>
      </w:pPr>
      <w:r>
        <w:rPr>
          <w:rFonts w:hint="eastAsia" w:ascii="仿宋" w:hAnsi="仿宋" w:eastAsia="仿宋" w:cs="仿宋"/>
          <w:b/>
          <w:bCs/>
          <w:sz w:val="28"/>
          <w:szCs w:val="28"/>
        </w:rPr>
        <w:t>与相关部门、相关行业协调的情况及意见：</w:t>
      </w:r>
      <w:r>
        <w:rPr>
          <w:rFonts w:hint="eastAsia" w:ascii="仿宋" w:hAnsi="仿宋" w:eastAsia="仿宋" w:cs="仿宋"/>
          <w:sz w:val="28"/>
          <w:szCs w:val="28"/>
        </w:rPr>
        <w:t>标准涉及多个相关部门、相关行业的，应与相关部门进行协调并达成一致意见，在此阐明具体协调情况，并将征求意见的复函或协调会会议纪要作为项目申报书的附件。</w:t>
      </w:r>
    </w:p>
    <w:p>
      <w:pPr>
        <w:numPr>
          <w:ilvl w:val="1"/>
          <w:numId w:val="2"/>
        </w:numPr>
        <w:tabs>
          <w:tab w:val="left" w:pos="-214"/>
          <w:tab w:val="left" w:pos="900"/>
        </w:tabs>
        <w:spacing w:line="460" w:lineRule="exact"/>
        <w:ind w:left="0" w:firstLine="586" w:firstLineChars="200"/>
        <w:rPr>
          <w:rFonts w:ascii="仿宋" w:hAnsi="仿宋" w:eastAsia="仿宋" w:cs="Times New Roman"/>
          <w:sz w:val="28"/>
          <w:szCs w:val="28"/>
        </w:rPr>
      </w:pPr>
      <w:r>
        <w:rPr>
          <w:rFonts w:hint="eastAsia" w:ascii="仿宋" w:hAnsi="仿宋" w:eastAsia="仿宋" w:cs="仿宋"/>
          <w:b/>
          <w:bCs/>
          <w:sz w:val="28"/>
          <w:szCs w:val="28"/>
        </w:rPr>
        <w:t>有关研究基础和前期研究成果：</w:t>
      </w:r>
      <w:r>
        <w:rPr>
          <w:rFonts w:hint="eastAsia" w:ascii="仿宋" w:hAnsi="仿宋" w:eastAsia="仿宋" w:cs="仿宋"/>
          <w:sz w:val="28"/>
          <w:szCs w:val="28"/>
        </w:rPr>
        <w:t>阐明已进行过的与本标准相关的科研课题或调查研究的主要内容，并将科研报告或调研报告作为项目申报书的附件。</w:t>
      </w:r>
    </w:p>
    <w:p>
      <w:pPr>
        <w:numPr>
          <w:ilvl w:val="1"/>
          <w:numId w:val="2"/>
        </w:numPr>
        <w:tabs>
          <w:tab w:val="left" w:pos="-214"/>
          <w:tab w:val="left" w:pos="900"/>
        </w:tabs>
        <w:spacing w:line="460" w:lineRule="exact"/>
        <w:ind w:left="0" w:firstLine="586" w:firstLineChars="200"/>
        <w:rPr>
          <w:rFonts w:ascii="仿宋" w:hAnsi="仿宋" w:eastAsia="仿宋" w:cs="Times New Roman"/>
          <w:sz w:val="28"/>
          <w:szCs w:val="28"/>
        </w:rPr>
      </w:pPr>
      <w:r>
        <w:rPr>
          <w:rFonts w:hint="eastAsia" w:ascii="仿宋" w:hAnsi="仿宋" w:eastAsia="仿宋" w:cs="仿宋"/>
          <w:b/>
          <w:bCs/>
          <w:sz w:val="28"/>
          <w:szCs w:val="28"/>
        </w:rPr>
        <w:t>必要的试验验证数据及统计分析：</w:t>
      </w:r>
      <w:r>
        <w:rPr>
          <w:rFonts w:hint="eastAsia" w:ascii="仿宋" w:hAnsi="仿宋" w:eastAsia="仿宋" w:cs="仿宋"/>
          <w:sz w:val="28"/>
          <w:szCs w:val="28"/>
        </w:rPr>
        <w:t>给出已进行过的与本标准相关的试验验证和统计分析的结果，并将试验报告和统计分析报告作为项目申报书的附件。</w:t>
      </w:r>
    </w:p>
    <w:p>
      <w:pPr>
        <w:numPr>
          <w:ilvl w:val="1"/>
          <w:numId w:val="2"/>
        </w:numPr>
        <w:tabs>
          <w:tab w:val="left" w:pos="-214"/>
          <w:tab w:val="left" w:pos="900"/>
        </w:tabs>
        <w:spacing w:line="460" w:lineRule="exact"/>
        <w:ind w:left="0" w:firstLine="586" w:firstLineChars="200"/>
        <w:rPr>
          <w:rFonts w:ascii="仿宋" w:hAnsi="仿宋" w:eastAsia="仿宋" w:cs="Times New Roman"/>
          <w:sz w:val="28"/>
          <w:szCs w:val="28"/>
        </w:rPr>
      </w:pPr>
      <w:r>
        <w:rPr>
          <w:rFonts w:hint="eastAsia" w:ascii="仿宋" w:hAnsi="仿宋" w:eastAsia="仿宋" w:cs="仿宋"/>
          <w:b/>
          <w:bCs/>
          <w:sz w:val="28"/>
          <w:szCs w:val="28"/>
        </w:rPr>
        <w:t>标准是否涉及专利、商标等知识产权问题：</w:t>
      </w:r>
      <w:r>
        <w:rPr>
          <w:rFonts w:hint="eastAsia" w:ascii="仿宋" w:hAnsi="仿宋" w:eastAsia="仿宋" w:cs="仿宋"/>
          <w:sz w:val="28"/>
          <w:szCs w:val="28"/>
        </w:rPr>
        <w:t>不涉及的填写“否”。涉及的，填写专利、商标名称、持有人名称、证书编号。</w:t>
      </w:r>
    </w:p>
    <w:p>
      <w:pPr>
        <w:widowControl/>
        <w:snapToGrid w:val="0"/>
        <w:spacing w:line="570" w:lineRule="exact"/>
        <w:jc w:val="center"/>
        <w:rPr>
          <w:rFonts w:ascii="黑体" w:hAnsi="黑体" w:eastAsia="黑体" w:cs="Times New Roman"/>
        </w:rPr>
        <w:sectPr>
          <w:pgSz w:w="11906" w:h="16838"/>
          <w:pgMar w:top="2098" w:right="1474" w:bottom="1985" w:left="1588" w:header="851" w:footer="992" w:gutter="0"/>
          <w:pgNumType w:fmt="numberInDash" w:start="5"/>
          <w:cols w:space="720" w:num="1"/>
          <w:docGrid w:linePitch="435" w:charSpace="0"/>
        </w:sectPr>
      </w:pPr>
    </w:p>
    <w:p>
      <w:pPr>
        <w:rPr>
          <w:rFonts w:ascii="仿宋_GB2312" w:eastAsia="仿宋_GB2312"/>
          <w:sz w:val="28"/>
          <w:szCs w:val="28"/>
        </w:rPr>
      </w:pPr>
    </w:p>
    <w:sectPr>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E1F1638-9AC3-4303-970D-3B2BA6D1C874}"/>
  </w:font>
  <w:font w:name="黑体">
    <w:panose1 w:val="02010609060101010101"/>
    <w:charset w:val="86"/>
    <w:family w:val="auto"/>
    <w:pitch w:val="default"/>
    <w:sig w:usb0="800002BF" w:usb1="38CF7CFA" w:usb2="00000016" w:usb3="00000000" w:csb0="00040001" w:csb1="00000000"/>
    <w:embedRegular r:id="rId2" w:fontKey="{D1A64584-ADDC-4661-BAB4-69C00F9DBE5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0" w:usb1="00000000" w:usb2="00000000" w:usb3="00000000" w:csb0="00000000" w:csb1="00000000"/>
    <w:embedRegular r:id="rId3" w:fontKey="{8E14D7AA-7D00-44F6-91B2-8E01622183DA}"/>
  </w:font>
  <w:font w:name="Batang">
    <w:altName w:val="Malgun Gothic"/>
    <w:panose1 w:val="02030600000101010101"/>
    <w:charset w:val="81"/>
    <w:family w:val="auto"/>
    <w:pitch w:val="default"/>
    <w:sig w:usb0="00000000" w:usb1="00000000" w:usb2="00000030" w:usb3="00000000" w:csb0="4008009F" w:csb1="DFD70000"/>
    <w:embedRegular r:id="rId4" w:fontKey="{ADBD6BA1-4864-4110-B688-86BB21B81A49}"/>
  </w:font>
  <w:font w:name="方正小标宋简体">
    <w:panose1 w:val="02000000000000000000"/>
    <w:charset w:val="86"/>
    <w:family w:val="script"/>
    <w:pitch w:val="default"/>
    <w:sig w:usb0="00000000" w:usb1="00000000" w:usb2="00000000" w:usb3="00000000" w:csb0="00000000" w:csb1="00000000"/>
    <w:embedRegular r:id="rId5" w:fontKey="{D278F8DB-9ABC-48AA-8BA4-5DCA20BDCCCD}"/>
  </w:font>
  <w:font w:name="仿宋">
    <w:panose1 w:val="02010609060101010101"/>
    <w:charset w:val="86"/>
    <w:family w:val="modern"/>
    <w:pitch w:val="default"/>
    <w:sig w:usb0="800002BF" w:usb1="38CF7CFA" w:usb2="00000016" w:usb3="00000000" w:csb0="00040001" w:csb1="00000000"/>
    <w:embedRegular r:id="rId6" w:fontKey="{8865E2F9-F75E-4990-AF9B-8753CF44C16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27 -</w:t>
    </w:r>
    <w:r>
      <w:rPr>
        <w:rFonts w:asciiTheme="minorEastAsia" w:hAnsiTheme="minorEastAsia" w:eastAsiaTheme="minorEastAsia"/>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28 -</w:t>
    </w:r>
    <w:r>
      <w:rPr>
        <w:rFonts w:asciiTheme="minorEastAsia" w:hAnsiTheme="minorEastAsia" w:eastAsiaTheme="minorEastAsia"/>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C2BCA"/>
    <w:multiLevelType w:val="multilevel"/>
    <w:tmpl w:val="334C2BCA"/>
    <w:lvl w:ilvl="0" w:tentative="0">
      <w:start w:val="1"/>
      <w:numFmt w:val="lowerLetter"/>
      <w:lvlText w:val="%1)"/>
      <w:lvlJc w:val="left"/>
      <w:pPr>
        <w:tabs>
          <w:tab w:val="left" w:pos="1065"/>
        </w:tabs>
        <w:ind w:left="1065" w:hanging="420"/>
      </w:pPr>
      <w:rPr>
        <w:rFonts w:cs="Times New Roman"/>
      </w:rPr>
    </w:lvl>
    <w:lvl w:ilvl="1" w:tentative="0">
      <w:start w:val="1"/>
      <w:numFmt w:val="decimal"/>
      <w:lvlText w:val="%2."/>
      <w:lvlJc w:val="left"/>
      <w:pPr>
        <w:tabs>
          <w:tab w:val="left" w:pos="-435"/>
        </w:tabs>
        <w:ind w:left="1350" w:hanging="720"/>
      </w:pPr>
      <w:rPr>
        <w:rFonts w:hint="eastAsia" w:ascii="仿宋_GB2312" w:eastAsia="仿宋_GB2312" w:cs="Times New Roman"/>
        <w:b w:val="0"/>
        <w:bCs w:val="0"/>
        <w:sz w:val="32"/>
        <w:szCs w:val="32"/>
      </w:rPr>
    </w:lvl>
    <w:lvl w:ilvl="2" w:tentative="0">
      <w:start w:val="1"/>
      <w:numFmt w:val="lowerRoman"/>
      <w:lvlText w:val="%3."/>
      <w:lvlJc w:val="right"/>
      <w:pPr>
        <w:tabs>
          <w:tab w:val="left" w:pos="1905"/>
        </w:tabs>
        <w:ind w:left="1905" w:hanging="420"/>
      </w:pPr>
      <w:rPr>
        <w:rFonts w:cs="Times New Roman"/>
      </w:rPr>
    </w:lvl>
    <w:lvl w:ilvl="3" w:tentative="0">
      <w:start w:val="1"/>
      <w:numFmt w:val="decimal"/>
      <w:lvlText w:val="%4."/>
      <w:lvlJc w:val="left"/>
      <w:pPr>
        <w:tabs>
          <w:tab w:val="left" w:pos="2325"/>
        </w:tabs>
        <w:ind w:left="2325" w:hanging="420"/>
      </w:pPr>
      <w:rPr>
        <w:rFonts w:cs="Times New Roman"/>
      </w:rPr>
    </w:lvl>
    <w:lvl w:ilvl="4" w:tentative="0">
      <w:start w:val="1"/>
      <w:numFmt w:val="lowerLetter"/>
      <w:lvlText w:val="%5)"/>
      <w:lvlJc w:val="left"/>
      <w:pPr>
        <w:tabs>
          <w:tab w:val="left" w:pos="2745"/>
        </w:tabs>
        <w:ind w:left="2745" w:hanging="420"/>
      </w:pPr>
      <w:rPr>
        <w:rFonts w:cs="Times New Roman"/>
      </w:rPr>
    </w:lvl>
    <w:lvl w:ilvl="5" w:tentative="0">
      <w:start w:val="1"/>
      <w:numFmt w:val="lowerRoman"/>
      <w:lvlText w:val="%6."/>
      <w:lvlJc w:val="right"/>
      <w:pPr>
        <w:tabs>
          <w:tab w:val="left" w:pos="3165"/>
        </w:tabs>
        <w:ind w:left="3165" w:hanging="420"/>
      </w:pPr>
      <w:rPr>
        <w:rFonts w:cs="Times New Roman"/>
      </w:rPr>
    </w:lvl>
    <w:lvl w:ilvl="6" w:tentative="0">
      <w:start w:val="1"/>
      <w:numFmt w:val="decimal"/>
      <w:lvlText w:val="%7."/>
      <w:lvlJc w:val="left"/>
      <w:pPr>
        <w:tabs>
          <w:tab w:val="left" w:pos="3585"/>
        </w:tabs>
        <w:ind w:left="3585" w:hanging="420"/>
      </w:pPr>
      <w:rPr>
        <w:rFonts w:cs="Times New Roman"/>
      </w:rPr>
    </w:lvl>
    <w:lvl w:ilvl="7" w:tentative="0">
      <w:start w:val="1"/>
      <w:numFmt w:val="lowerLetter"/>
      <w:lvlText w:val="%8)"/>
      <w:lvlJc w:val="left"/>
      <w:pPr>
        <w:tabs>
          <w:tab w:val="left" w:pos="4005"/>
        </w:tabs>
        <w:ind w:left="4005" w:hanging="420"/>
      </w:pPr>
      <w:rPr>
        <w:rFonts w:cs="Times New Roman"/>
      </w:rPr>
    </w:lvl>
    <w:lvl w:ilvl="8" w:tentative="0">
      <w:start w:val="1"/>
      <w:numFmt w:val="lowerRoman"/>
      <w:lvlText w:val="%9."/>
      <w:lvlJc w:val="right"/>
      <w:pPr>
        <w:tabs>
          <w:tab w:val="left" w:pos="4425"/>
        </w:tabs>
        <w:ind w:left="4425" w:hanging="420"/>
      </w:pPr>
      <w:rPr>
        <w:rFonts w:cs="Times New Roman"/>
      </w:rPr>
    </w:lvl>
  </w:abstractNum>
  <w:abstractNum w:abstractNumId="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2"/>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yNjIxZDNjM2FiMWE0MGQ0OTNlMTE5NWFiNjcyYjUifQ=="/>
  </w:docVars>
  <w:rsids>
    <w:rsidRoot w:val="00094FA3"/>
    <w:rsid w:val="00027E35"/>
    <w:rsid w:val="00051F60"/>
    <w:rsid w:val="00075D9F"/>
    <w:rsid w:val="00094FA3"/>
    <w:rsid w:val="0009591F"/>
    <w:rsid w:val="000B1A23"/>
    <w:rsid w:val="000B2C69"/>
    <w:rsid w:val="000B68A5"/>
    <w:rsid w:val="000D7F51"/>
    <w:rsid w:val="000E68E5"/>
    <w:rsid w:val="000F0184"/>
    <w:rsid w:val="000F0422"/>
    <w:rsid w:val="00125CF0"/>
    <w:rsid w:val="00130E62"/>
    <w:rsid w:val="00141C3A"/>
    <w:rsid w:val="00144C0A"/>
    <w:rsid w:val="00152098"/>
    <w:rsid w:val="0017294E"/>
    <w:rsid w:val="00176D3C"/>
    <w:rsid w:val="001770CB"/>
    <w:rsid w:val="001832EA"/>
    <w:rsid w:val="001A2F1D"/>
    <w:rsid w:val="001B121E"/>
    <w:rsid w:val="001C66BA"/>
    <w:rsid w:val="001E4F41"/>
    <w:rsid w:val="001F3CA3"/>
    <w:rsid w:val="002221A8"/>
    <w:rsid w:val="00236511"/>
    <w:rsid w:val="00250E50"/>
    <w:rsid w:val="00273772"/>
    <w:rsid w:val="00296BC3"/>
    <w:rsid w:val="002B338F"/>
    <w:rsid w:val="002B55BF"/>
    <w:rsid w:val="002B73B4"/>
    <w:rsid w:val="002E51A3"/>
    <w:rsid w:val="002F54D7"/>
    <w:rsid w:val="00314726"/>
    <w:rsid w:val="00340BE2"/>
    <w:rsid w:val="003444B2"/>
    <w:rsid w:val="00351BE0"/>
    <w:rsid w:val="0035579D"/>
    <w:rsid w:val="003D2EEF"/>
    <w:rsid w:val="003D750F"/>
    <w:rsid w:val="0042094C"/>
    <w:rsid w:val="00423C53"/>
    <w:rsid w:val="004655AE"/>
    <w:rsid w:val="005048C3"/>
    <w:rsid w:val="005257D5"/>
    <w:rsid w:val="00525C4A"/>
    <w:rsid w:val="00532B45"/>
    <w:rsid w:val="005350D6"/>
    <w:rsid w:val="00551FBF"/>
    <w:rsid w:val="00562F31"/>
    <w:rsid w:val="005B31F0"/>
    <w:rsid w:val="005B565A"/>
    <w:rsid w:val="005C16A2"/>
    <w:rsid w:val="005D0BA4"/>
    <w:rsid w:val="006441E1"/>
    <w:rsid w:val="00647D2B"/>
    <w:rsid w:val="006614AC"/>
    <w:rsid w:val="006713A8"/>
    <w:rsid w:val="006808B5"/>
    <w:rsid w:val="00685818"/>
    <w:rsid w:val="00686023"/>
    <w:rsid w:val="00695344"/>
    <w:rsid w:val="006B2985"/>
    <w:rsid w:val="006F7DD3"/>
    <w:rsid w:val="0073569E"/>
    <w:rsid w:val="00754071"/>
    <w:rsid w:val="00786AC8"/>
    <w:rsid w:val="00795858"/>
    <w:rsid w:val="007A0FBF"/>
    <w:rsid w:val="007A2648"/>
    <w:rsid w:val="007A76A2"/>
    <w:rsid w:val="007E27A8"/>
    <w:rsid w:val="007E467A"/>
    <w:rsid w:val="0085207F"/>
    <w:rsid w:val="008804DD"/>
    <w:rsid w:val="008A5A95"/>
    <w:rsid w:val="008B2784"/>
    <w:rsid w:val="008F1D15"/>
    <w:rsid w:val="009569B6"/>
    <w:rsid w:val="00971E41"/>
    <w:rsid w:val="009825FD"/>
    <w:rsid w:val="009A2AF9"/>
    <w:rsid w:val="009D7E43"/>
    <w:rsid w:val="009F2353"/>
    <w:rsid w:val="00A023DF"/>
    <w:rsid w:val="00A06737"/>
    <w:rsid w:val="00A54F37"/>
    <w:rsid w:val="00A75029"/>
    <w:rsid w:val="00AE0875"/>
    <w:rsid w:val="00AF5ED1"/>
    <w:rsid w:val="00AF6D57"/>
    <w:rsid w:val="00B22E54"/>
    <w:rsid w:val="00B31E7D"/>
    <w:rsid w:val="00B55323"/>
    <w:rsid w:val="00BA5E67"/>
    <w:rsid w:val="00C23070"/>
    <w:rsid w:val="00C45804"/>
    <w:rsid w:val="00C60010"/>
    <w:rsid w:val="00C64A97"/>
    <w:rsid w:val="00C8586F"/>
    <w:rsid w:val="00CA3575"/>
    <w:rsid w:val="00CC780F"/>
    <w:rsid w:val="00CE0596"/>
    <w:rsid w:val="00CE2474"/>
    <w:rsid w:val="00CE70D4"/>
    <w:rsid w:val="00D06BC0"/>
    <w:rsid w:val="00D14CD2"/>
    <w:rsid w:val="00D26644"/>
    <w:rsid w:val="00DB1699"/>
    <w:rsid w:val="00DC3145"/>
    <w:rsid w:val="00E57F36"/>
    <w:rsid w:val="00E70508"/>
    <w:rsid w:val="00E8634B"/>
    <w:rsid w:val="00E87D5D"/>
    <w:rsid w:val="00ED355A"/>
    <w:rsid w:val="00F059FB"/>
    <w:rsid w:val="00F11A05"/>
    <w:rsid w:val="00F11CDB"/>
    <w:rsid w:val="00F279A8"/>
    <w:rsid w:val="00F32EE1"/>
    <w:rsid w:val="00F75798"/>
    <w:rsid w:val="00F932CF"/>
    <w:rsid w:val="00FA0598"/>
    <w:rsid w:val="00FE6685"/>
    <w:rsid w:val="05725A3C"/>
    <w:rsid w:val="073F702B"/>
    <w:rsid w:val="08BE3F76"/>
    <w:rsid w:val="0BAA4BF7"/>
    <w:rsid w:val="0D226E9B"/>
    <w:rsid w:val="14D162AB"/>
    <w:rsid w:val="17310C53"/>
    <w:rsid w:val="1E8554FD"/>
    <w:rsid w:val="22652870"/>
    <w:rsid w:val="227F13FD"/>
    <w:rsid w:val="2E2D3DFF"/>
    <w:rsid w:val="2F012668"/>
    <w:rsid w:val="37A05A5B"/>
    <w:rsid w:val="3A49467E"/>
    <w:rsid w:val="404F212E"/>
    <w:rsid w:val="40C90C31"/>
    <w:rsid w:val="455A4E91"/>
    <w:rsid w:val="455C22CE"/>
    <w:rsid w:val="462E1E9D"/>
    <w:rsid w:val="4B4C5754"/>
    <w:rsid w:val="50423DB4"/>
    <w:rsid w:val="565129EA"/>
    <w:rsid w:val="5B197A0B"/>
    <w:rsid w:val="653777F8"/>
    <w:rsid w:val="659E4668"/>
    <w:rsid w:val="6E5F4F51"/>
    <w:rsid w:val="756844AB"/>
    <w:rsid w:val="7776200D"/>
    <w:rsid w:val="7BAA5ADB"/>
    <w:rsid w:val="7E390024"/>
    <w:rsid w:val="7F26413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仿宋_GB2312"/>
      <w:spacing w:val="6"/>
      <w:kern w:val="2"/>
      <w:sz w:val="32"/>
      <w:szCs w:val="32"/>
      <w:lang w:val="en-US" w:eastAsia="zh-CN" w:bidi="ar-SA"/>
    </w:rPr>
  </w:style>
  <w:style w:type="character" w:default="1" w:styleId="6">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rFonts w:ascii="Calibri" w:hAnsi="Calibri" w:eastAsia="宋体" w:cs="Times New Roman"/>
      <w:spacing w:val="0"/>
      <w:kern w:val="0"/>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rFonts w:ascii="Calibri" w:hAnsi="Calibri" w:eastAsia="宋体" w:cs="Times New Roman"/>
      <w:spacing w:val="0"/>
      <w:kern w:val="0"/>
      <w:sz w:val="18"/>
      <w:szCs w:val="18"/>
    </w:rPr>
  </w:style>
  <w:style w:type="table" w:styleId="5">
    <w:name w:val="Table Grid"/>
    <w:basedOn w:val="4"/>
    <w:qFormat/>
    <w:locked/>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7">
    <w:name w:val="page number"/>
    <w:basedOn w:val="6"/>
    <w:qFormat/>
    <w:uiPriority w:val="99"/>
    <w:rPr>
      <w:rFonts w:cs="Times New Roman"/>
    </w:rPr>
  </w:style>
  <w:style w:type="character" w:customStyle="1" w:styleId="8">
    <w:name w:val="页眉 Char"/>
    <w:basedOn w:val="6"/>
    <w:link w:val="3"/>
    <w:qFormat/>
    <w:locked/>
    <w:uiPriority w:val="99"/>
    <w:rPr>
      <w:rFonts w:cs="Times New Roman"/>
      <w:sz w:val="18"/>
    </w:rPr>
  </w:style>
  <w:style w:type="character" w:customStyle="1" w:styleId="9">
    <w:name w:val="页脚 Char"/>
    <w:basedOn w:val="6"/>
    <w:link w:val="2"/>
    <w:qFormat/>
    <w:locked/>
    <w:uiPriority w:val="99"/>
    <w:rPr>
      <w:rFonts w:cs="Times New Roman"/>
      <w:sz w:val="18"/>
    </w:rPr>
  </w:style>
  <w:style w:type="paragraph" w:customStyle="1" w:styleId="10">
    <w:name w:val="List Paragraph"/>
    <w:basedOn w:val="1"/>
    <w:qFormat/>
    <w:uiPriority w:val="99"/>
    <w:pPr>
      <w:ind w:firstLine="420" w:firstLineChars="200"/>
    </w:pPr>
    <w:rPr>
      <w:rFonts w:ascii="Calibri" w:hAnsi="Calibri" w:eastAsia="宋体" w:cs="Times New Roman"/>
      <w:spacing w:val="0"/>
      <w:sz w:val="21"/>
      <w:szCs w:val="22"/>
    </w:rPr>
  </w:style>
  <w:style w:type="paragraph" w:customStyle="1" w:styleId="1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2">
    <w:name w:val="标准文件_章标题"/>
    <w:next w:val="11"/>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4463</Words>
  <Characters>4687</Characters>
  <Lines>13</Lines>
  <Paragraphs>3</Paragraphs>
  <TotalTime>1</TotalTime>
  <ScaleCrop>false</ScaleCrop>
  <LinksUpToDate>false</LinksUpToDate>
  <CharactersWithSpaces>4804</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2016-01-18T04:25:00Z</dcterms:created>
  <dc:creator>郑志伟(郑志伟:)</dc:creator>
  <cp:lastModifiedBy>Administrator</cp:lastModifiedBy>
  <dcterms:modified xsi:type="dcterms:W3CDTF">2024-10-30T02:37:15Z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DA4AFA96DC61482FA16338B3EDD206D2_13</vt:lpwstr>
  </property>
</Properties>
</file>