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sz w:val="48"/>
          <w:szCs w:val="56"/>
          <w:lang w:val="en"/>
        </w:rPr>
      </w:pPr>
    </w:p>
    <w:p>
      <w:pPr>
        <w:jc w:val="center"/>
        <w:rPr>
          <w:sz w:val="48"/>
          <w:szCs w:val="56"/>
          <w:lang w:val="en"/>
        </w:rPr>
      </w:pPr>
    </w:p>
    <w:p>
      <w:pPr>
        <w:jc w:val="center"/>
        <w:rPr>
          <w:b/>
          <w:bCs/>
          <w:sz w:val="52"/>
          <w:szCs w:val="72"/>
          <w:lang w:val="en"/>
        </w:rPr>
      </w:pPr>
      <w:r>
        <w:rPr>
          <w:rFonts w:hint="eastAsia"/>
          <w:b/>
          <w:bCs/>
          <w:sz w:val="52"/>
          <w:szCs w:val="72"/>
          <w:lang w:val="en-US" w:eastAsia="zh-CN"/>
        </w:rPr>
        <w:t xml:space="preserve"> </w:t>
      </w:r>
      <w:r>
        <w:rPr>
          <w:rFonts w:hint="eastAsia"/>
          <w:b/>
          <w:bCs/>
          <w:sz w:val="52"/>
          <w:szCs w:val="72"/>
          <w:lang w:val="en" w:eastAsia="zh-CN"/>
        </w:rPr>
        <w:t>巴彦淖尔市</w:t>
      </w:r>
      <w:r>
        <w:rPr>
          <w:b/>
          <w:bCs/>
          <w:sz w:val="52"/>
          <w:szCs w:val="72"/>
          <w:lang w:val="en"/>
        </w:rPr>
        <w:t>地方标准</w:t>
      </w:r>
    </w:p>
    <w:p>
      <w:pPr>
        <w:jc w:val="center"/>
        <w:rPr>
          <w:b/>
          <w:bCs/>
          <w:sz w:val="52"/>
          <w:szCs w:val="72"/>
          <w:lang w:val="en"/>
        </w:rPr>
      </w:pPr>
    </w:p>
    <w:p>
      <w:pPr>
        <w:jc w:val="center"/>
        <w:rPr>
          <w:b/>
          <w:bCs/>
          <w:sz w:val="32"/>
          <w:szCs w:val="40"/>
          <w:lang w:val="en"/>
        </w:rPr>
      </w:pPr>
      <w:r>
        <w:rPr>
          <w:rFonts w:hint="eastAsia" w:ascii="宋体" w:hAnsi="宋体" w:eastAsia="宋体" w:cs="宋体"/>
          <w:b/>
          <w:bCs/>
          <w:sz w:val="44"/>
          <w:szCs w:val="44"/>
          <w:lang w:val="en"/>
        </w:rPr>
        <w:t>《</w:t>
      </w:r>
      <w:r>
        <w:rPr>
          <w:rFonts w:hint="eastAsia" w:ascii="宋体" w:hAnsi="宋体" w:eastAsia="宋体" w:cs="宋体"/>
          <w:b/>
          <w:bCs/>
          <w:sz w:val="44"/>
          <w:szCs w:val="44"/>
          <w:lang w:val="en-US" w:eastAsia="zh-CN"/>
        </w:rPr>
        <w:t>混采干红辣椒</w:t>
      </w:r>
      <w:r>
        <w:rPr>
          <w:rFonts w:hint="eastAsia" w:ascii="宋体" w:hAnsi="宋体" w:eastAsia="宋体" w:cs="宋体"/>
          <w:b/>
          <w:bCs/>
          <w:sz w:val="44"/>
          <w:szCs w:val="44"/>
          <w:lang w:val="en" w:eastAsia="zh-CN"/>
        </w:rPr>
        <w:t>质量分级</w:t>
      </w:r>
      <w:r>
        <w:rPr>
          <w:rFonts w:hint="eastAsia" w:ascii="宋体" w:hAnsi="宋体" w:eastAsia="宋体" w:cs="宋体"/>
          <w:b/>
          <w:bCs/>
          <w:sz w:val="44"/>
          <w:szCs w:val="44"/>
          <w:lang w:val="en"/>
        </w:rPr>
        <w:t>》</w:t>
      </w:r>
    </w:p>
    <w:p>
      <w:pPr>
        <w:jc w:val="center"/>
        <w:rPr>
          <w:lang w:val="en"/>
        </w:rPr>
      </w:pPr>
    </w:p>
    <w:p>
      <w:pPr>
        <w:jc w:val="center"/>
        <w:rPr>
          <w:lang w:val="en"/>
        </w:rPr>
      </w:pPr>
    </w:p>
    <w:p>
      <w:pPr>
        <w:jc w:val="center"/>
        <w:rPr>
          <w:lang w:val="en"/>
        </w:rPr>
      </w:pPr>
    </w:p>
    <w:p>
      <w:pPr>
        <w:jc w:val="center"/>
        <w:rPr>
          <w:lang w:val="en"/>
        </w:rPr>
      </w:pPr>
    </w:p>
    <w:p>
      <w:pPr>
        <w:jc w:val="center"/>
        <w:rPr>
          <w:sz w:val="48"/>
          <w:szCs w:val="56"/>
          <w:lang w:val="en"/>
        </w:rPr>
      </w:pPr>
    </w:p>
    <w:p>
      <w:pPr>
        <w:jc w:val="center"/>
        <w:rPr>
          <w:sz w:val="48"/>
          <w:szCs w:val="56"/>
          <w:lang w:val="en"/>
        </w:rPr>
      </w:pPr>
    </w:p>
    <w:p>
      <w:pPr>
        <w:jc w:val="center"/>
        <w:rPr>
          <w:b/>
          <w:bCs/>
          <w:sz w:val="52"/>
          <w:szCs w:val="72"/>
          <w:lang w:val="en"/>
        </w:rPr>
      </w:pPr>
      <w:r>
        <w:rPr>
          <w:b/>
          <w:bCs/>
          <w:sz w:val="52"/>
          <w:szCs w:val="72"/>
          <w:lang w:val="en"/>
        </w:rPr>
        <w:t>编</w:t>
      </w:r>
      <w:r>
        <w:rPr>
          <w:rFonts w:hint="default"/>
          <w:b/>
          <w:bCs/>
          <w:sz w:val="52"/>
          <w:szCs w:val="72"/>
          <w:lang w:val="en"/>
        </w:rPr>
        <w:t xml:space="preserve"> </w:t>
      </w:r>
      <w:r>
        <w:rPr>
          <w:b/>
          <w:bCs/>
          <w:sz w:val="52"/>
          <w:szCs w:val="72"/>
          <w:lang w:val="en"/>
        </w:rPr>
        <w:t>制</w:t>
      </w:r>
      <w:r>
        <w:rPr>
          <w:rFonts w:hint="default"/>
          <w:b/>
          <w:bCs/>
          <w:sz w:val="52"/>
          <w:szCs w:val="72"/>
          <w:lang w:val="en"/>
        </w:rPr>
        <w:t xml:space="preserve"> </w:t>
      </w:r>
      <w:r>
        <w:rPr>
          <w:b/>
          <w:bCs/>
          <w:sz w:val="52"/>
          <w:szCs w:val="72"/>
          <w:lang w:val="en"/>
        </w:rPr>
        <w:t>说</w:t>
      </w:r>
      <w:r>
        <w:rPr>
          <w:rFonts w:hint="default"/>
          <w:b/>
          <w:bCs/>
          <w:sz w:val="52"/>
          <w:szCs w:val="72"/>
          <w:lang w:val="en"/>
        </w:rPr>
        <w:t xml:space="preserve"> </w:t>
      </w:r>
      <w:r>
        <w:rPr>
          <w:b/>
          <w:bCs/>
          <w:sz w:val="52"/>
          <w:szCs w:val="72"/>
          <w:lang w:val="en"/>
        </w:rPr>
        <w:t>明</w:t>
      </w:r>
    </w:p>
    <w:p>
      <w:pPr>
        <w:jc w:val="center"/>
        <w:rPr>
          <w:lang w:val="en"/>
        </w:rPr>
      </w:pPr>
    </w:p>
    <w:p>
      <w:pPr>
        <w:jc w:val="center"/>
        <w:rPr>
          <w:lang w:val="en"/>
        </w:rPr>
      </w:pPr>
    </w:p>
    <w:p>
      <w:pPr>
        <w:jc w:val="center"/>
        <w:rPr>
          <w:lang w:val="en"/>
        </w:rPr>
      </w:pPr>
    </w:p>
    <w:p>
      <w:pPr>
        <w:jc w:val="center"/>
        <w:rPr>
          <w:lang w:val="en"/>
        </w:rPr>
      </w:pPr>
    </w:p>
    <w:p>
      <w:pPr>
        <w:jc w:val="center"/>
        <w:rPr>
          <w:lang w:val="en"/>
        </w:rPr>
      </w:pPr>
    </w:p>
    <w:p>
      <w:pPr>
        <w:jc w:val="center"/>
        <w:rPr>
          <w:lang w:val="en"/>
        </w:rPr>
      </w:pPr>
    </w:p>
    <w:p>
      <w:pPr>
        <w:jc w:val="center"/>
        <w:rPr>
          <w:lang w:val="en"/>
        </w:rPr>
      </w:pPr>
    </w:p>
    <w:p>
      <w:pPr>
        <w:jc w:val="center"/>
        <w:rPr>
          <w:lang w:val="en"/>
        </w:rPr>
      </w:pPr>
    </w:p>
    <w:p>
      <w:pPr>
        <w:rPr>
          <w:rFonts w:hint="eastAsia" w:ascii="方正仿宋_GBK" w:hAnsi="方正仿宋_GBK" w:eastAsia="方正仿宋_GBK" w:cs="方正仿宋_GBK"/>
          <w:b/>
          <w:bCs/>
          <w:sz w:val="48"/>
          <w:szCs w:val="48"/>
          <w:lang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仿宋_GBK" w:hAnsi="方正仿宋_GBK" w:eastAsia="方正仿宋_GBK" w:cs="方正仿宋_GBK"/>
          <w:b/>
          <w:bCs/>
          <w:sz w:val="48"/>
          <w:szCs w:val="48"/>
          <w:lang w:eastAsia="zh-CN"/>
        </w:rPr>
        <w:sectPr>
          <w:pgSz w:w="11906" w:h="16838"/>
          <w:pgMar w:top="1440" w:right="1800" w:bottom="1440" w:left="1800" w:header="851" w:footer="992" w:gutter="0"/>
          <w:pgNumType w:fmt="decimal"/>
          <w:cols w:space="425" w:num="1"/>
          <w:docGrid w:type="lines" w:linePitch="312" w:charSpace="0"/>
        </w:sectPr>
      </w:pPr>
    </w:p>
    <w:p>
      <w:pPr>
        <w:ind w:firstLine="643" w:firstLineChars="200"/>
        <w:jc w:val="left"/>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一、工作简况</w:t>
      </w:r>
    </w:p>
    <w:p>
      <w:pPr>
        <w:numPr>
          <w:ilvl w:val="0"/>
          <w:numId w:val="0"/>
        </w:numPr>
        <w:ind w:firstLine="640" w:firstLineChars="200"/>
        <w:rPr>
          <w:rFonts w:hint="eastAsia" w:ascii="宋体" w:hAnsi="宋体" w:eastAsia="宋体" w:cs="宋体"/>
          <w:b/>
          <w:bCs/>
          <w:sz w:val="32"/>
          <w:szCs w:val="32"/>
          <w:lang w:val="en-US" w:eastAsia="zh-CN"/>
        </w:rPr>
      </w:pPr>
      <w:r>
        <w:rPr>
          <w:rFonts w:hint="eastAsia" w:ascii="宋体" w:hAnsi="宋体" w:eastAsia="宋体" w:cs="宋体"/>
          <w:sz w:val="32"/>
          <w:szCs w:val="32"/>
          <w:lang w:val="en-US" w:eastAsia="zh-CN"/>
        </w:rPr>
        <w:t xml:space="preserve"> </w:t>
      </w:r>
      <w:r>
        <w:rPr>
          <w:rFonts w:hint="eastAsia" w:ascii="宋体" w:hAnsi="宋体" w:eastAsia="宋体" w:cs="宋体"/>
          <w:b/>
          <w:bCs/>
          <w:sz w:val="32"/>
          <w:szCs w:val="32"/>
          <w:lang w:val="en-US" w:eastAsia="zh-CN"/>
        </w:rPr>
        <w:t>（一）立项背景</w:t>
      </w:r>
    </w:p>
    <w:p>
      <w:pPr>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巴彦淖尔市具有得天独厚的自然资源、气候条件和产业基础，非常适合发展辣椒产业，所产辣椒色泽鲜艳、果肉厚、辣椒红素和干物质含量高，深受国内外市场喜爱，种植面积逐年扩大。为大力推动巴彦淖尔市辣椒产业高质量发展，2022年3月，巴彦淖尔市人民政府办公室印发了《巴彦淖尔市大力发展辣椒产业十条意见》的通知 （巴政办发〔2022〕9号），从抓品种引育、基地建设、生产机械、订单种植、精深加工、市场管理、品牌培育、科技服务、社会化服务、政策扶持十个方面提出了目标任务，要求各旗县区人民政府，市直有关部门认真贯彻执行。</w:t>
      </w:r>
    </w:p>
    <w:p>
      <w:pPr>
        <w:pStyle w:val="2"/>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据农情统计，全市辣椒种植面积2020年只有2万亩左右，当时也不作为统计作物。2021年发展到6万亩（当年被列入了统计面积），2022年达到12万亩，2023年已经达到25万亩，2024年达到30万亩左右，种植面积扩展之快是其他农作物从来没有的。辣椒产业的从业者也逐步壮大起来，到2023年底（据不完全统计），专业从事辣椒经营的组织达到80多家。固定从业人员近千人，而且还在逐步扩大。</w:t>
      </w:r>
    </w:p>
    <w:p>
      <w:pPr>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目前，最突出的问题是，我市辣椒产业刚刚兴起，因为人工的缺乏而无法实现干辣椒人工采收，一般均采取机械化或半机械化方式采收，使正常辣椒、异色或劣质辣椒、水分含量不同的辣椒以及残存茎叶等杂质无法分离，只能在收获后再进行清选、色选、去把、烘干等机械处理。但是，由于资金、设备、技术等方面的缺乏，这方面的加工设施设备和加工条件还不具备，农民采收后经初加工的辣椒产品很难达到国家标准和行业标准的要求，外地客户收购回去后需进行二次加工。这样，在辣椒的采收与销售环节没有辣椒质量分级标准，种植户与收购方之间缺乏评判辣椒质量等级和以质论价的依据，容易产生矛盾，辣椒销售市场秩序混乱，不能很好的保护农民的合法权益，甚至损害了种植户的利益。因此，我们组织相关技术人员，调查了解机械采收辣椒的实际情况，收集了客户对辣椒收购与质量等级划分标准的需求等，编制了《干红辣椒初加工环节质量分级》（工作组讨论稿），申请立项巴彦淖尔市地方标准。</w:t>
      </w:r>
    </w:p>
    <w:p>
      <w:pPr>
        <w:numPr>
          <w:ilvl w:val="0"/>
          <w:numId w:val="1"/>
        </w:numPr>
        <w:ind w:firstLine="643" w:firstLineChars="200"/>
        <w:rPr>
          <w:rFonts w:hint="eastAsia" w:ascii="宋体" w:hAnsi="宋体" w:eastAsia="宋体" w:cs="宋体"/>
          <w:b/>
          <w:bCs/>
          <w:sz w:val="32"/>
          <w:szCs w:val="32"/>
          <w:lang w:eastAsia="zh-CN"/>
        </w:rPr>
      </w:pPr>
      <w:r>
        <w:rPr>
          <w:rFonts w:hint="eastAsia" w:ascii="宋体" w:hAnsi="宋体" w:eastAsia="宋体" w:cs="宋体"/>
          <w:b/>
          <w:bCs/>
          <w:sz w:val="32"/>
          <w:szCs w:val="32"/>
          <w:lang w:val="en-US" w:eastAsia="zh-CN"/>
        </w:rPr>
        <w:t>标准</w:t>
      </w:r>
      <w:r>
        <w:rPr>
          <w:rFonts w:hint="eastAsia" w:ascii="宋体" w:hAnsi="宋体" w:eastAsia="宋体" w:cs="宋体"/>
          <w:b/>
          <w:bCs/>
          <w:sz w:val="32"/>
          <w:szCs w:val="32"/>
          <w:lang w:eastAsia="zh-CN"/>
        </w:rPr>
        <w:t>提出单位</w:t>
      </w:r>
    </w:p>
    <w:p>
      <w:pPr>
        <w:numPr>
          <w:ilvl w:val="0"/>
          <w:numId w:val="0"/>
        </w:numPr>
        <w:ind w:firstLine="640" w:firstLineChars="200"/>
        <w:rPr>
          <w:rFonts w:hint="eastAsia" w:ascii="宋体" w:hAnsi="宋体" w:eastAsia="宋体" w:cs="宋体"/>
          <w:sz w:val="32"/>
          <w:szCs w:val="32"/>
          <w:lang w:eastAsia="zh-CN"/>
        </w:rPr>
      </w:pPr>
      <w:r>
        <w:rPr>
          <w:rFonts w:hint="eastAsia" w:ascii="宋体" w:hAnsi="宋体" w:eastAsia="宋体" w:cs="宋体"/>
          <w:sz w:val="32"/>
          <w:szCs w:val="32"/>
          <w:lang w:eastAsia="zh-CN"/>
        </w:rPr>
        <w:t>巴彦淖尔市现代农牧事业发展中心。</w:t>
      </w:r>
    </w:p>
    <w:p>
      <w:pPr>
        <w:numPr>
          <w:ilvl w:val="0"/>
          <w:numId w:val="1"/>
        </w:numPr>
        <w:ind w:left="0" w:leftChars="0" w:firstLine="643" w:firstLineChars="200"/>
        <w:rPr>
          <w:rFonts w:hint="eastAsia" w:ascii="宋体" w:hAnsi="宋体" w:eastAsia="宋体" w:cs="宋体"/>
          <w:sz w:val="32"/>
          <w:szCs w:val="32"/>
          <w:lang w:val="en-US" w:eastAsia="zh-CN"/>
        </w:rPr>
      </w:pPr>
      <w:r>
        <w:rPr>
          <w:rFonts w:hint="eastAsia" w:ascii="宋体" w:hAnsi="宋体" w:eastAsia="宋体" w:cs="宋体"/>
          <w:b/>
          <w:bCs/>
          <w:sz w:val="32"/>
          <w:szCs w:val="32"/>
          <w:lang w:eastAsia="zh-CN"/>
        </w:rPr>
        <w:t>标准</w:t>
      </w:r>
      <w:r>
        <w:rPr>
          <w:rFonts w:hint="eastAsia" w:ascii="宋体" w:hAnsi="宋体" w:eastAsia="宋体" w:cs="宋体"/>
          <w:b/>
          <w:bCs/>
          <w:sz w:val="32"/>
          <w:szCs w:val="32"/>
          <w:lang w:val="en-US" w:eastAsia="zh-CN"/>
        </w:rPr>
        <w:t>归口单位</w:t>
      </w:r>
    </w:p>
    <w:p>
      <w:pPr>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巴彦淖尔市农牧局。</w:t>
      </w:r>
    </w:p>
    <w:p>
      <w:pPr>
        <w:numPr>
          <w:ilvl w:val="0"/>
          <w:numId w:val="1"/>
        </w:numPr>
        <w:ind w:left="0" w:leftChars="0" w:firstLine="643" w:firstLineChars="200"/>
        <w:rPr>
          <w:rFonts w:hint="eastAsia" w:ascii="宋体" w:hAnsi="宋体" w:eastAsia="宋体" w:cs="宋体"/>
          <w:b/>
          <w:bCs/>
          <w:sz w:val="32"/>
          <w:szCs w:val="32"/>
          <w:lang w:eastAsia="zh-CN"/>
        </w:rPr>
      </w:pPr>
      <w:r>
        <w:rPr>
          <w:rFonts w:hint="eastAsia" w:ascii="宋体" w:hAnsi="宋体" w:eastAsia="宋体" w:cs="宋体"/>
          <w:b/>
          <w:bCs/>
          <w:sz w:val="32"/>
          <w:szCs w:val="32"/>
          <w:lang w:val="en-US" w:eastAsia="zh-CN"/>
        </w:rPr>
        <w:t>标准</w:t>
      </w:r>
      <w:r>
        <w:rPr>
          <w:rFonts w:hint="eastAsia" w:ascii="宋体" w:hAnsi="宋体" w:eastAsia="宋体" w:cs="宋体"/>
          <w:b/>
          <w:bCs/>
          <w:sz w:val="32"/>
          <w:szCs w:val="32"/>
          <w:lang w:eastAsia="zh-CN"/>
        </w:rPr>
        <w:t>起草单位</w:t>
      </w:r>
    </w:p>
    <w:p>
      <w:pPr>
        <w:numPr>
          <w:ilvl w:val="0"/>
          <w:numId w:val="0"/>
        </w:numPr>
        <w:ind w:firstLine="640" w:firstLineChars="200"/>
        <w:rPr>
          <w:rFonts w:hint="eastAsia" w:ascii="宋体" w:hAnsi="宋体" w:eastAsia="宋体" w:cs="宋体"/>
          <w:sz w:val="32"/>
          <w:szCs w:val="32"/>
          <w:lang w:eastAsia="zh-CN"/>
        </w:rPr>
      </w:pPr>
      <w:r>
        <w:rPr>
          <w:rFonts w:hint="eastAsia" w:ascii="宋体" w:hAnsi="宋体" w:eastAsia="宋体" w:cs="宋体"/>
          <w:sz w:val="32"/>
          <w:szCs w:val="32"/>
          <w:lang w:eastAsia="zh-CN"/>
        </w:rPr>
        <w:t>巴彦淖尔市</w:t>
      </w:r>
      <w:r>
        <w:rPr>
          <w:rFonts w:hint="eastAsia" w:ascii="宋体" w:hAnsi="宋体" w:eastAsia="宋体" w:cs="宋体"/>
          <w:sz w:val="32"/>
          <w:szCs w:val="32"/>
          <w:lang w:val="en-US" w:eastAsia="zh-CN"/>
        </w:rPr>
        <w:t>辣椒产业协会、巴彦淖尔市产品质量计量检测中心、巴彦淖尔市科技局科技成果转化中心。</w:t>
      </w:r>
    </w:p>
    <w:p>
      <w:pPr>
        <w:numPr>
          <w:ilvl w:val="0"/>
          <w:numId w:val="1"/>
        </w:numPr>
        <w:ind w:left="0" w:leftChars="0" w:firstLine="643" w:firstLineChars="200"/>
        <w:rPr>
          <w:rFonts w:hint="eastAsia" w:ascii="宋体" w:hAnsi="宋体" w:eastAsia="宋体" w:cs="宋体"/>
          <w:sz w:val="32"/>
          <w:szCs w:val="32"/>
          <w:lang w:eastAsia="zh-CN"/>
        </w:rPr>
      </w:pPr>
      <w:r>
        <w:rPr>
          <w:rFonts w:hint="eastAsia" w:ascii="宋体" w:hAnsi="宋体" w:eastAsia="宋体" w:cs="宋体"/>
          <w:b/>
          <w:bCs/>
          <w:sz w:val="32"/>
          <w:szCs w:val="32"/>
          <w:lang w:eastAsia="zh-CN"/>
        </w:rPr>
        <w:t>标准主要起草人</w:t>
      </w:r>
    </w:p>
    <w:p>
      <w:pPr>
        <w:pStyle w:val="2"/>
        <w:numPr>
          <w:ilvl w:val="0"/>
          <w:numId w:val="0"/>
        </w:num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 xml:space="preserve">      刘庆元、徐军、李景权、顾敏、李志强、温瑞强、刘劼、安小敏、马博、闫爱武、王玥、刘彦华、王瑞军、南宏、杨倩、李玲、高瑞芳、刘洁、白晓峰、胡博、卫志刚、刘政。</w:t>
      </w:r>
    </w:p>
    <w:p>
      <w:pPr>
        <w:ind w:firstLine="643" w:firstLineChars="200"/>
        <w:jc w:val="left"/>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二、制定标准的</w:t>
      </w:r>
      <w:r>
        <w:rPr>
          <w:rFonts w:hint="eastAsia" w:ascii="宋体" w:hAnsi="宋体" w:eastAsia="宋体" w:cs="宋体"/>
          <w:b/>
          <w:bCs/>
          <w:sz w:val="32"/>
          <w:szCs w:val="32"/>
          <w:lang w:val="en-US" w:eastAsia="zh-CN"/>
        </w:rPr>
        <w:t>目的和意义</w:t>
      </w:r>
    </w:p>
    <w:p>
      <w:pPr>
        <w:numPr>
          <w:ilvl w:val="0"/>
          <w:numId w:val="0"/>
        </w:numPr>
        <w:ind w:firstLine="640" w:firstLineChars="200"/>
        <w:rPr>
          <w:rFonts w:hint="eastAsia" w:ascii="宋体" w:hAnsi="宋体" w:eastAsia="宋体" w:cs="宋体"/>
          <w:sz w:val="32"/>
          <w:szCs w:val="32"/>
          <w:lang w:eastAsia="zh-CN"/>
        </w:rPr>
      </w:pPr>
      <w:r>
        <w:rPr>
          <w:rFonts w:hint="eastAsia" w:ascii="宋体" w:hAnsi="宋体" w:eastAsia="宋体" w:cs="宋体"/>
          <w:sz w:val="32"/>
          <w:szCs w:val="32"/>
          <w:lang w:eastAsia="zh-CN"/>
        </w:rPr>
        <w:t>巴彦淖尔农牧业资源得天独厚，水土光热组合条件好，地处北纬40度黄金种植带上，有耕地1370.22万亩，目前巴彦淖尔市正在打造的是小麦、肉羊、向日葵、华莱士、黄柿子、奶业、玉米、羊绒、加工型蔬菜、辣椒、肉牛11条涉农重点产业链。据资料记载，巴彦淖尔市辣椒种植可以追溯到上世纪30年代初，此时引进了包括辣椒在内的多个农作物种子，从此河套地区有了辣椒零星的种植。而河套地区辣椒商品化种植则起始于本世纪初，当时以酱用辣椒为主。但由于当时经营理念和产业配套等诸多方面的不足，经历了艰难的起伏和挫折，一直未能有较大的发展。直至“十三五”末开始，随着互联网信息的发展，人们经营意识的提高，辣椒产业才实现了产销直接对接，河套的优质辣椒产品才广泛的被客户认识。促使“十四五”进入了产业发展的高速增长期。</w:t>
      </w:r>
    </w:p>
    <w:p>
      <w:pPr>
        <w:numPr>
          <w:ilvl w:val="0"/>
          <w:numId w:val="0"/>
        </w:numPr>
        <w:ind w:firstLine="640" w:firstLineChars="200"/>
        <w:rPr>
          <w:rFonts w:hint="eastAsia" w:ascii="宋体" w:hAnsi="宋体" w:eastAsia="宋体" w:cs="宋体"/>
          <w:sz w:val="32"/>
          <w:szCs w:val="32"/>
          <w:lang w:eastAsia="zh-CN"/>
        </w:rPr>
      </w:pPr>
      <w:r>
        <w:rPr>
          <w:rFonts w:hint="eastAsia" w:ascii="宋体" w:hAnsi="宋体" w:eastAsia="宋体" w:cs="宋体"/>
          <w:sz w:val="32"/>
          <w:szCs w:val="32"/>
          <w:lang w:eastAsia="zh-CN"/>
        </w:rPr>
        <w:t>2020年至2023年，全市种植面积基本是每年翻一番，据此，巴彦淖尔的辣椒产业也引起了地方政府重视和全国辣椒从业者的关注，发展势头强劲。目前已发展成为巴彦淖尔的一个重要的农业产业。一是辣椒品质好。由于日照充足，昼夜温差大，辣椒红素较高，所产辣椒色泽鲜艳、肉厚，辣红素含量相较内地辣椒主产区高5%-10%，干物质积累高于全国水平，农药残留低。辣椒作为具有出口型属性的产业，其优势明显。二是发展规模迅速扩大。据农情统计，全市辣椒种植面积2020年只有2万亩左右，当时也不作为统计作物。2021年发展到6万亩（当年被列入了统计面积），2022年达到12万亩，2023年已经达到25万亩，今年仍保持在30万亩左右，种植面积扩展之快是其他农作物从来没有的。辣椒产业的从业者也逐步壮大起来，到2023年底（据不完全统计），专业从事辣椒经营的组织达到80多家。固定从业人员近千人，而且还在逐步扩大。三是产业效益凸显。辣椒作为我市的十一个产业链的主导产业之一，其产业效益名列诸产业前烈。仅种植环节（2023年经管数据），酱用椒亩产值7705元，亩成本3514元（物质成本1507元，人工成本2007元），亩纯收入4191元。朝天椒亩产值3713元，亩成本2285元（物质成本1461元，人工成本824元），亩纯收入1428元。总产值和纯收入在种植业中已占据较大的比例，是小麦、玉米、向日葵的2倍左右。粗加工环节，折合每亩可实现纯利润至少在500-700元，而且副产品可以实现全部利用，副产品效益也很明显。综合效益与小麦、玉米、向日葵等种植面积超20万亩的河套主要作物比，效益非常显著。</w:t>
      </w:r>
    </w:p>
    <w:p>
      <w:pPr>
        <w:numPr>
          <w:ilvl w:val="0"/>
          <w:numId w:val="0"/>
        </w:numPr>
        <w:ind w:firstLine="640" w:firstLineChars="200"/>
        <w:rPr>
          <w:rFonts w:hint="eastAsia" w:ascii="宋体" w:hAnsi="宋体" w:eastAsia="宋体" w:cs="宋体"/>
          <w:sz w:val="32"/>
          <w:szCs w:val="32"/>
          <w:lang w:eastAsia="zh-CN"/>
        </w:rPr>
      </w:pPr>
      <w:r>
        <w:rPr>
          <w:rFonts w:hint="eastAsia" w:ascii="宋体" w:hAnsi="宋体" w:eastAsia="宋体" w:cs="宋体"/>
          <w:sz w:val="32"/>
          <w:szCs w:val="32"/>
          <w:lang w:eastAsia="zh-CN"/>
        </w:rPr>
        <w:t>目前，最突出的问题是，我市辣椒产业刚刚兴起，因为人工的缺乏而无法实现干辣椒人工采收，一般均采取机械化或半机械化方式采收，使正常辣椒、异色或劣质辣椒、水分含量不同的辣椒以及残存茎叶等杂质无法分离，只能在收获后再进行清选、色选、去把、烘干等机械处理。但是，由于资金、设备、技术等方面的缺乏，这方面的加工设施设备和加工条件还不具备，农民采收后经初加工的辣椒产品很难达到国家标准和行业标准的要求，外地客户收购回去后需进行二次加工。这样，在辣椒的采收与销售环节没有辣椒质量分级标准，种植户与收购方之间缺乏以质论价的依据，容易产生矛盾，辣椒销售市场秩序混乱，不能很好的保护农民的合法权益，甚至损害了种植户的利益。因此，</w:t>
      </w:r>
      <w:r>
        <w:rPr>
          <w:rFonts w:hint="eastAsia" w:ascii="宋体" w:hAnsi="宋体" w:eastAsia="宋体" w:cs="宋体"/>
          <w:sz w:val="32"/>
          <w:szCs w:val="32"/>
          <w:lang w:val="en-US" w:eastAsia="zh-CN"/>
        </w:rPr>
        <w:t>认真贯彻落实巴彦淖尔市人民政府办公室关于《巴彦淖尔市大力发展辣椒产业十条意见》的通知（巴政办发〔2022〕9号）精神，</w:t>
      </w:r>
      <w:r>
        <w:rPr>
          <w:rFonts w:hint="eastAsia" w:ascii="宋体" w:hAnsi="宋体" w:eastAsia="宋体" w:cs="宋体"/>
          <w:sz w:val="32"/>
          <w:szCs w:val="32"/>
          <w:lang w:eastAsia="zh-CN"/>
        </w:rPr>
        <w:t>尽快组织制定《</w:t>
      </w:r>
      <w:r>
        <w:rPr>
          <w:rFonts w:hint="eastAsia" w:ascii="宋体" w:hAnsi="宋体" w:eastAsia="宋体" w:cs="宋体"/>
          <w:sz w:val="32"/>
          <w:szCs w:val="32"/>
          <w:lang w:val="en-US" w:eastAsia="zh-CN"/>
        </w:rPr>
        <w:t>干红辣椒初加工环节质量分级</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对</w:t>
      </w:r>
      <w:r>
        <w:rPr>
          <w:rFonts w:hint="eastAsia" w:ascii="宋体" w:hAnsi="宋体" w:eastAsia="宋体" w:cs="宋体"/>
          <w:sz w:val="32"/>
          <w:szCs w:val="32"/>
          <w:lang w:eastAsia="zh-CN"/>
        </w:rPr>
        <w:t>解决干红辣椒机械粗加工品的质量分级</w:t>
      </w:r>
      <w:r>
        <w:rPr>
          <w:rFonts w:hint="eastAsia" w:ascii="宋体" w:hAnsi="宋体" w:eastAsia="宋体" w:cs="宋体"/>
          <w:sz w:val="32"/>
          <w:szCs w:val="32"/>
          <w:lang w:val="en-US" w:eastAsia="zh-CN"/>
        </w:rPr>
        <w:t>与以质论价</w:t>
      </w:r>
      <w:r>
        <w:rPr>
          <w:rFonts w:hint="eastAsia" w:ascii="宋体" w:hAnsi="宋体" w:eastAsia="宋体" w:cs="宋体"/>
          <w:sz w:val="32"/>
          <w:szCs w:val="32"/>
          <w:lang w:eastAsia="zh-CN"/>
        </w:rPr>
        <w:t>问题，满足辣椒客户的需求，规范</w:t>
      </w:r>
      <w:r>
        <w:rPr>
          <w:rFonts w:hint="eastAsia" w:ascii="宋体" w:hAnsi="宋体" w:eastAsia="宋体" w:cs="宋体"/>
          <w:sz w:val="32"/>
          <w:szCs w:val="32"/>
          <w:lang w:val="en-US" w:eastAsia="zh-CN"/>
        </w:rPr>
        <w:t>巴彦淖尔地区</w:t>
      </w:r>
      <w:r>
        <w:rPr>
          <w:rFonts w:hint="eastAsia" w:ascii="宋体" w:hAnsi="宋体" w:eastAsia="宋体" w:cs="宋体"/>
          <w:sz w:val="32"/>
          <w:szCs w:val="32"/>
          <w:lang w:eastAsia="zh-CN"/>
        </w:rPr>
        <w:t>辣椒收购市场秩序，</w:t>
      </w:r>
      <w:r>
        <w:rPr>
          <w:rFonts w:hint="eastAsia" w:ascii="宋体" w:hAnsi="宋体" w:eastAsia="宋体" w:cs="宋体"/>
          <w:sz w:val="32"/>
          <w:szCs w:val="32"/>
          <w:lang w:val="en-US" w:eastAsia="zh-CN"/>
        </w:rPr>
        <w:t>切实</w:t>
      </w:r>
      <w:r>
        <w:rPr>
          <w:rFonts w:hint="eastAsia" w:ascii="宋体" w:hAnsi="宋体" w:eastAsia="宋体" w:cs="宋体"/>
          <w:sz w:val="32"/>
          <w:szCs w:val="32"/>
          <w:lang w:eastAsia="zh-CN"/>
        </w:rPr>
        <w:t>保护广大农民的切身利益</w:t>
      </w:r>
      <w:r>
        <w:rPr>
          <w:rFonts w:hint="eastAsia" w:ascii="宋体" w:hAnsi="宋体" w:eastAsia="宋体" w:cs="宋体"/>
          <w:sz w:val="32"/>
          <w:szCs w:val="32"/>
          <w:lang w:val="en-US" w:eastAsia="zh-CN"/>
        </w:rPr>
        <w:t>具有十分重要的意义</w:t>
      </w:r>
      <w:r>
        <w:rPr>
          <w:rFonts w:hint="eastAsia" w:ascii="宋体" w:hAnsi="宋体" w:eastAsia="宋体" w:cs="宋体"/>
          <w:sz w:val="32"/>
          <w:szCs w:val="32"/>
          <w:lang w:eastAsia="zh-CN"/>
        </w:rPr>
        <w:t>。</w:t>
      </w:r>
    </w:p>
    <w:p>
      <w:pPr>
        <w:pStyle w:val="2"/>
        <w:numPr>
          <w:ilvl w:val="0"/>
          <w:numId w:val="2"/>
        </w:numPr>
        <w:ind w:left="640" w:leftChars="0" w:firstLine="0" w:firstLineChars="0"/>
        <w:rPr>
          <w:rFonts w:hint="eastAsia" w:ascii="宋体" w:hAnsi="宋体" w:eastAsia="宋体" w:cs="宋体"/>
          <w:sz w:val="32"/>
          <w:szCs w:val="32"/>
          <w:lang w:val="en-US" w:eastAsia="zh-CN"/>
        </w:rPr>
      </w:pPr>
      <w:r>
        <w:rPr>
          <w:rFonts w:hint="eastAsia" w:ascii="宋体" w:hAnsi="宋体" w:eastAsia="宋体" w:cs="宋体"/>
          <w:b/>
          <w:bCs/>
          <w:sz w:val="32"/>
          <w:szCs w:val="32"/>
          <w:lang w:val="en-US" w:eastAsia="zh-CN"/>
        </w:rPr>
        <w:t>标准编制的原则和依据，与现行法律、法规、标准的关系</w:t>
      </w:r>
    </w:p>
    <w:p>
      <w:pPr>
        <w:pStyle w:val="2"/>
        <w:numPr>
          <w:ilvl w:val="0"/>
          <w:numId w:val="0"/>
        </w:numPr>
        <w:ind w:firstLine="643" w:firstLineChars="200"/>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（一）标准制定原则</w:t>
      </w:r>
    </w:p>
    <w:p>
      <w:pPr>
        <w:pStyle w:val="2"/>
        <w:numPr>
          <w:ilvl w:val="0"/>
          <w:numId w:val="0"/>
        </w:numPr>
        <w:ind w:firstLine="643" w:firstLineChars="200"/>
        <w:rPr>
          <w:rFonts w:hint="eastAsia" w:ascii="宋体" w:hAnsi="宋体" w:eastAsia="宋体" w:cs="宋体"/>
          <w:sz w:val="32"/>
          <w:szCs w:val="32"/>
          <w:lang w:val="en-US" w:eastAsia="zh-CN"/>
        </w:rPr>
      </w:pPr>
      <w:r>
        <w:rPr>
          <w:rFonts w:hint="eastAsia" w:ascii="宋体" w:hAnsi="宋体" w:eastAsia="宋体" w:cs="宋体"/>
          <w:b/>
          <w:bCs/>
          <w:sz w:val="32"/>
          <w:szCs w:val="32"/>
          <w:lang w:val="en-US" w:eastAsia="zh-CN"/>
        </w:rPr>
        <w:t>1、实用性原则</w:t>
      </w:r>
    </w:p>
    <w:p>
      <w:pPr>
        <w:pStyle w:val="2"/>
        <w:numPr>
          <w:ilvl w:val="0"/>
          <w:numId w:val="0"/>
        </w:num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《干红辣椒初加工环节质量分级》（工作组讨论稿）是在充分调查了解我市辣椒产业发展中存在突出问题，以及市场与客户需求的情况下提出并组织编制的，因此，本标准具有较强的实用性和可操作性。</w:t>
      </w:r>
    </w:p>
    <w:p>
      <w:pPr>
        <w:pStyle w:val="2"/>
        <w:numPr>
          <w:ilvl w:val="0"/>
          <w:numId w:val="0"/>
        </w:numPr>
        <w:ind w:firstLine="643" w:firstLineChars="200"/>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2、协调性原则</w:t>
      </w:r>
    </w:p>
    <w:p>
      <w:pPr>
        <w:pStyle w:val="2"/>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本标准编写过程中，查阅了国家相关产业政策、法律法规，以及相关的国家标准、行业标准和地方标准，特别注重标准的协调问题，在内容上与现行法律法规、标准协调一致。</w:t>
      </w:r>
    </w:p>
    <w:p>
      <w:pPr>
        <w:pStyle w:val="2"/>
        <w:numPr>
          <w:ilvl w:val="0"/>
          <w:numId w:val="0"/>
        </w:numPr>
        <w:ind w:firstLine="643" w:firstLineChars="200"/>
        <w:rPr>
          <w:rFonts w:hint="eastAsia" w:ascii="宋体" w:hAnsi="宋体" w:eastAsia="宋体" w:cs="宋体"/>
          <w:sz w:val="32"/>
          <w:szCs w:val="32"/>
          <w:lang w:val="en-US" w:eastAsia="zh-CN"/>
        </w:rPr>
      </w:pPr>
      <w:r>
        <w:rPr>
          <w:rFonts w:hint="eastAsia" w:ascii="宋体" w:hAnsi="宋体" w:eastAsia="宋体" w:cs="宋体"/>
          <w:b/>
          <w:bCs/>
          <w:sz w:val="32"/>
          <w:szCs w:val="32"/>
          <w:lang w:val="en-US" w:eastAsia="zh-CN"/>
        </w:rPr>
        <w:t>3、前瞻性原则</w:t>
      </w:r>
    </w:p>
    <w:p>
      <w:pPr>
        <w:pStyle w:val="2"/>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在制定《干红辣椒初加工环节质量分级规范》（工作组讨论稿）的同时，兼顾辣椒的质量与卫生安全性，兼顾企业与农民的利益，对于辣椒实现科学化、规范化栽培管理，建立河套辣椒高质量标准体系具有非常重要的推动作用。</w:t>
      </w:r>
    </w:p>
    <w:p>
      <w:pPr>
        <w:pStyle w:val="2"/>
        <w:numPr>
          <w:ilvl w:val="0"/>
          <w:numId w:val="0"/>
        </w:numPr>
        <w:ind w:firstLine="643" w:firstLineChars="200"/>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（二）标准主要技术内容确定的依据</w:t>
      </w:r>
    </w:p>
    <w:p>
      <w:pPr>
        <w:pStyle w:val="2"/>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本标准编写过程中参考了相关国家标准、行业标准，并根据前期调研成果及收集市场与客户资料，确定标准的技术要求。这些技术要求还需在标准立项后，重新开展调研、检验检测、征求意见、技术数据验证、专家审查等工作，最后确定本标准的技术要求。</w:t>
      </w:r>
    </w:p>
    <w:p>
      <w:pPr>
        <w:pStyle w:val="2"/>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本标准执行和引用了以下规范性引用文件：</w:t>
      </w:r>
    </w:p>
    <w:p>
      <w:pPr>
        <w:pStyle w:val="2"/>
        <w:numPr>
          <w:ilvl w:val="0"/>
          <w:numId w:val="0"/>
        </w:num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 xml:space="preserve">    GB/T 191  包装储运图示标志</w:t>
      </w:r>
    </w:p>
    <w:p>
      <w:pPr>
        <w:pStyle w:val="2"/>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GB 2761  食品安全国家标准  食品中真菌毒素限量</w:t>
      </w:r>
    </w:p>
    <w:p>
      <w:pPr>
        <w:pStyle w:val="2"/>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GB 2762  食品安全国家标准  食品中污染物限量</w:t>
      </w:r>
    </w:p>
    <w:p>
      <w:pPr>
        <w:pStyle w:val="2"/>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GB 2763 食品安全国家标准 食品中农药重大残留限量</w:t>
      </w:r>
    </w:p>
    <w:p>
      <w:pPr>
        <w:pStyle w:val="2"/>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GB 5009.3  食品安全国家标准  食品中水分的测定</w:t>
      </w:r>
    </w:p>
    <w:p>
      <w:pPr>
        <w:pStyle w:val="2"/>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GB/T 6543  运输包装用单瓦楞纸箱和双瓦楞纸箱</w:t>
      </w:r>
    </w:p>
    <w:p>
      <w:pPr>
        <w:pStyle w:val="2"/>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GB/T 8946  塑料编织袋通用技术要求</w:t>
      </w:r>
    </w:p>
    <w:p>
      <w:pPr>
        <w:pStyle w:val="2"/>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GB/T 12729.2  香辛料和调味品  取样方法</w:t>
      </w:r>
    </w:p>
    <w:p>
      <w:pPr>
        <w:pStyle w:val="2"/>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GB/T 21302  包装用复合膜、袋通则</w:t>
      </w:r>
    </w:p>
    <w:p>
      <w:pPr>
        <w:pStyle w:val="2"/>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GB/T 30382  辣椒（整的或粉状）</w:t>
      </w:r>
    </w:p>
    <w:p>
      <w:pPr>
        <w:pStyle w:val="2"/>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NY/T 3610  干红辣椒质量分级</w:t>
      </w:r>
    </w:p>
    <w:p>
      <w:pPr>
        <w:pStyle w:val="2"/>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SN/T 0231  出口干制辣椒产品检验规程</w:t>
      </w:r>
    </w:p>
    <w:p>
      <w:pPr>
        <w:pStyle w:val="2"/>
        <w:numPr>
          <w:ilvl w:val="0"/>
          <w:numId w:val="3"/>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通过生产销售过程调查和前期的研究，摸清了辣椒混采后粗加工的各环节，以及各级粗加工形成的产品质量的改进数据，同时对于满足客户需求产品指标情况做了分析，其结果如表1：</w:t>
      </w:r>
    </w:p>
    <w:p>
      <w:pPr>
        <w:pStyle w:val="2"/>
        <w:numPr>
          <w:ilvl w:val="0"/>
          <w:numId w:val="0"/>
        </w:numPr>
        <w:ind w:firstLine="2560" w:firstLineChars="8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表1  质量等级技术数据</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567"/>
        <w:gridCol w:w="1560"/>
        <w:gridCol w:w="1986"/>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restart"/>
          </w:tcPr>
          <w:p>
            <w:pPr>
              <w:pStyle w:val="2"/>
              <w:widowControl w:val="0"/>
              <w:numPr>
                <w:ilvl w:val="0"/>
                <w:numId w:val="0"/>
              </w:numPr>
              <w:jc w:val="center"/>
              <w:textAlignment w:val="baseline"/>
              <w:rPr>
                <w:rFonts w:hint="eastAsia" w:ascii="仿宋" w:hAnsi="仿宋" w:eastAsia="仿宋" w:cs="仿宋"/>
                <w:sz w:val="24"/>
                <w:szCs w:val="24"/>
                <w:vertAlign w:val="baseline"/>
                <w:lang w:val="en-US" w:eastAsia="zh-CN"/>
              </w:rPr>
            </w:pPr>
          </w:p>
          <w:p>
            <w:pPr>
              <w:pStyle w:val="2"/>
              <w:widowControl w:val="0"/>
              <w:numPr>
                <w:ilvl w:val="0"/>
                <w:numId w:val="0"/>
              </w:numPr>
              <w:jc w:val="center"/>
              <w:textAlignment w:val="baseline"/>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项目</w:t>
            </w:r>
          </w:p>
        </w:tc>
        <w:tc>
          <w:tcPr>
            <w:tcW w:w="6818" w:type="dxa"/>
            <w:gridSpan w:val="4"/>
          </w:tcPr>
          <w:p>
            <w:pPr>
              <w:pStyle w:val="2"/>
              <w:widowControl w:val="0"/>
              <w:numPr>
                <w:ilvl w:val="0"/>
                <w:numId w:val="0"/>
              </w:numPr>
              <w:jc w:val="center"/>
              <w:textAlignment w:val="baseline"/>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continue"/>
          </w:tcPr>
          <w:p>
            <w:pPr>
              <w:pStyle w:val="2"/>
              <w:widowControl w:val="0"/>
              <w:numPr>
                <w:ilvl w:val="0"/>
                <w:numId w:val="0"/>
              </w:numPr>
              <w:jc w:val="center"/>
              <w:textAlignment w:val="baseline"/>
              <w:rPr>
                <w:rFonts w:hint="eastAsia" w:ascii="仿宋" w:hAnsi="仿宋" w:eastAsia="仿宋" w:cs="仿宋"/>
                <w:sz w:val="24"/>
                <w:szCs w:val="24"/>
                <w:vertAlign w:val="baseline"/>
                <w:lang w:val="en-US" w:eastAsia="zh-CN"/>
              </w:rPr>
            </w:pPr>
          </w:p>
        </w:tc>
        <w:tc>
          <w:tcPr>
            <w:tcW w:w="1567" w:type="dxa"/>
          </w:tcPr>
          <w:p>
            <w:pPr>
              <w:pStyle w:val="2"/>
              <w:widowControl w:val="0"/>
              <w:numPr>
                <w:ilvl w:val="0"/>
                <w:numId w:val="0"/>
              </w:numPr>
              <w:jc w:val="center"/>
              <w:textAlignment w:val="baseline"/>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一级</w:t>
            </w:r>
          </w:p>
        </w:tc>
        <w:tc>
          <w:tcPr>
            <w:tcW w:w="1560" w:type="dxa"/>
          </w:tcPr>
          <w:p>
            <w:pPr>
              <w:pStyle w:val="2"/>
              <w:widowControl w:val="0"/>
              <w:numPr>
                <w:ilvl w:val="0"/>
                <w:numId w:val="0"/>
              </w:numPr>
              <w:jc w:val="center"/>
              <w:textAlignment w:val="baseline"/>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二级</w:t>
            </w:r>
          </w:p>
        </w:tc>
        <w:tc>
          <w:tcPr>
            <w:tcW w:w="1986" w:type="dxa"/>
          </w:tcPr>
          <w:p>
            <w:pPr>
              <w:pStyle w:val="2"/>
              <w:widowControl w:val="0"/>
              <w:numPr>
                <w:ilvl w:val="0"/>
                <w:numId w:val="0"/>
              </w:numPr>
              <w:jc w:val="center"/>
              <w:textAlignment w:val="baseline"/>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三级</w:t>
            </w:r>
          </w:p>
        </w:tc>
        <w:tc>
          <w:tcPr>
            <w:tcW w:w="1705" w:type="dxa"/>
          </w:tcPr>
          <w:p>
            <w:pPr>
              <w:pStyle w:val="2"/>
              <w:widowControl w:val="0"/>
              <w:numPr>
                <w:ilvl w:val="0"/>
                <w:numId w:val="0"/>
              </w:numPr>
              <w:jc w:val="center"/>
              <w:textAlignment w:val="baseline"/>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四级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pStyle w:val="2"/>
              <w:widowControl w:val="0"/>
              <w:numPr>
                <w:ilvl w:val="0"/>
                <w:numId w:val="0"/>
              </w:numPr>
              <w:jc w:val="center"/>
              <w:textAlignment w:val="baseline"/>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产品形态</w:t>
            </w:r>
          </w:p>
        </w:tc>
        <w:tc>
          <w:tcPr>
            <w:tcW w:w="1567" w:type="dxa"/>
          </w:tcPr>
          <w:p>
            <w:pPr>
              <w:pStyle w:val="2"/>
              <w:widowControl w:val="0"/>
              <w:numPr>
                <w:ilvl w:val="0"/>
                <w:numId w:val="0"/>
              </w:numPr>
              <w:jc w:val="center"/>
              <w:textAlignment w:val="baseline"/>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净货去把</w:t>
            </w:r>
          </w:p>
        </w:tc>
        <w:tc>
          <w:tcPr>
            <w:tcW w:w="1560" w:type="dxa"/>
          </w:tcPr>
          <w:p>
            <w:pPr>
              <w:pStyle w:val="2"/>
              <w:widowControl w:val="0"/>
              <w:numPr>
                <w:ilvl w:val="0"/>
                <w:numId w:val="0"/>
              </w:numPr>
              <w:jc w:val="center"/>
              <w:textAlignment w:val="baseline"/>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净货带把</w:t>
            </w:r>
          </w:p>
        </w:tc>
        <w:tc>
          <w:tcPr>
            <w:tcW w:w="1986" w:type="dxa"/>
          </w:tcPr>
          <w:p>
            <w:pPr>
              <w:pStyle w:val="2"/>
              <w:widowControl w:val="0"/>
              <w:numPr>
                <w:ilvl w:val="0"/>
                <w:numId w:val="0"/>
              </w:numPr>
              <w:jc w:val="center"/>
              <w:textAlignment w:val="baseline"/>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清选带把未色选</w:t>
            </w:r>
          </w:p>
        </w:tc>
        <w:tc>
          <w:tcPr>
            <w:tcW w:w="1705" w:type="dxa"/>
          </w:tcPr>
          <w:p>
            <w:pPr>
              <w:pStyle w:val="2"/>
              <w:widowControl w:val="0"/>
              <w:numPr>
                <w:ilvl w:val="0"/>
                <w:numId w:val="0"/>
              </w:numPr>
              <w:jc w:val="center"/>
              <w:textAlignment w:val="baseline"/>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毛货（人工抖收含杂含水）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pStyle w:val="2"/>
              <w:widowControl w:val="0"/>
              <w:numPr>
                <w:ilvl w:val="0"/>
                <w:numId w:val="0"/>
              </w:numPr>
              <w:jc w:val="center"/>
              <w:textAlignment w:val="baseline"/>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水分，%</w:t>
            </w:r>
          </w:p>
        </w:tc>
        <w:tc>
          <w:tcPr>
            <w:tcW w:w="1567"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15</w:t>
            </w:r>
          </w:p>
        </w:tc>
        <w:tc>
          <w:tcPr>
            <w:tcW w:w="1560"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15</w:t>
            </w:r>
          </w:p>
        </w:tc>
        <w:tc>
          <w:tcPr>
            <w:tcW w:w="1986"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18-20</w:t>
            </w:r>
          </w:p>
        </w:tc>
        <w:tc>
          <w:tcPr>
            <w:tcW w:w="1705"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pStyle w:val="2"/>
              <w:widowControl w:val="0"/>
              <w:numPr>
                <w:ilvl w:val="0"/>
                <w:numId w:val="0"/>
              </w:numPr>
              <w:jc w:val="center"/>
              <w:textAlignment w:val="baseline"/>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杂质，%</w:t>
            </w:r>
          </w:p>
        </w:tc>
        <w:tc>
          <w:tcPr>
            <w:tcW w:w="1567"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1560"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1986"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3</w:t>
            </w:r>
          </w:p>
        </w:tc>
        <w:tc>
          <w:tcPr>
            <w:tcW w:w="1705"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28-30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pStyle w:val="2"/>
              <w:widowControl w:val="0"/>
              <w:numPr>
                <w:ilvl w:val="0"/>
                <w:numId w:val="0"/>
              </w:numPr>
              <w:jc w:val="center"/>
              <w:textAlignment w:val="baseline"/>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花皮，%</w:t>
            </w:r>
          </w:p>
        </w:tc>
        <w:tc>
          <w:tcPr>
            <w:tcW w:w="1567"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0.5</w:t>
            </w:r>
          </w:p>
        </w:tc>
        <w:tc>
          <w:tcPr>
            <w:tcW w:w="1560"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0.5</w:t>
            </w:r>
          </w:p>
        </w:tc>
        <w:tc>
          <w:tcPr>
            <w:tcW w:w="1986"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13-15</w:t>
            </w:r>
          </w:p>
        </w:tc>
        <w:tc>
          <w:tcPr>
            <w:tcW w:w="1705"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pStyle w:val="2"/>
              <w:widowControl w:val="0"/>
              <w:numPr>
                <w:ilvl w:val="0"/>
                <w:numId w:val="0"/>
              </w:numPr>
              <w:jc w:val="center"/>
              <w:textAlignment w:val="baseline"/>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霉变，%</w:t>
            </w:r>
          </w:p>
        </w:tc>
        <w:tc>
          <w:tcPr>
            <w:tcW w:w="1567"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0.5</w:t>
            </w:r>
          </w:p>
        </w:tc>
        <w:tc>
          <w:tcPr>
            <w:tcW w:w="1560"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0.5</w:t>
            </w:r>
          </w:p>
        </w:tc>
        <w:tc>
          <w:tcPr>
            <w:tcW w:w="1986"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1-2</w:t>
            </w:r>
          </w:p>
        </w:tc>
        <w:tc>
          <w:tcPr>
            <w:tcW w:w="1705"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pStyle w:val="2"/>
              <w:widowControl w:val="0"/>
              <w:numPr>
                <w:ilvl w:val="0"/>
                <w:numId w:val="0"/>
              </w:numPr>
              <w:jc w:val="center"/>
              <w:textAlignment w:val="baseline"/>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含石头、土，%</w:t>
            </w:r>
          </w:p>
        </w:tc>
        <w:tc>
          <w:tcPr>
            <w:tcW w:w="1567"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1560"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1986"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1705"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2-3</w:t>
            </w:r>
          </w:p>
        </w:tc>
      </w:tr>
    </w:tbl>
    <w:p>
      <w:pPr>
        <w:pStyle w:val="2"/>
        <w:widowControl w:val="0"/>
        <w:numPr>
          <w:ilvl w:val="0"/>
          <w:numId w:val="3"/>
        </w:numPr>
        <w:ind w:left="0" w:leftChars="0" w:firstLine="640" w:firstLineChars="200"/>
        <w:jc w:val="both"/>
        <w:textAlignment w:val="baseline"/>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辣椒从采收到成品，各环节均有损耗，据多年测产数据及采收环节数据，得到采收各环节的出成率，出成率为各环节得到的产量与原始产量之比。下面为当地主栽品种红龙23（大椒）人工采收的各环节出成率和保银829（小椒）的人工采收和机械采收各环节出成率。表2为红龙23出成率，表3为保银829出成率。</w:t>
      </w:r>
    </w:p>
    <w:p>
      <w:pPr>
        <w:pStyle w:val="2"/>
        <w:numPr>
          <w:ilvl w:val="0"/>
          <w:numId w:val="0"/>
        </w:numPr>
        <w:jc w:val="cente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表2   红龙23（大椒）出成率</w:t>
      </w:r>
    </w:p>
    <w:tbl>
      <w:tblPr>
        <w:tblStyle w:val="10"/>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938"/>
        <w:gridCol w:w="1470"/>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Pr>
          <w:p>
            <w:pPr>
              <w:pStyle w:val="2"/>
              <w:widowControl w:val="0"/>
              <w:numPr>
                <w:ilvl w:val="0"/>
                <w:numId w:val="0"/>
              </w:numPr>
              <w:jc w:val="center"/>
              <w:textAlignment w:val="baseline"/>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不同采收方式</w:t>
            </w:r>
          </w:p>
        </w:tc>
        <w:tc>
          <w:tcPr>
            <w:tcW w:w="1938"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人工采收出成率</w:t>
            </w:r>
          </w:p>
        </w:tc>
        <w:tc>
          <w:tcPr>
            <w:tcW w:w="1470"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清选出成率</w:t>
            </w:r>
          </w:p>
        </w:tc>
        <w:tc>
          <w:tcPr>
            <w:tcW w:w="1705"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色选出成率</w:t>
            </w:r>
          </w:p>
        </w:tc>
        <w:tc>
          <w:tcPr>
            <w:tcW w:w="1705" w:type="dxa"/>
          </w:tcPr>
          <w:p>
            <w:pPr>
              <w:pStyle w:val="2"/>
              <w:widowControl w:val="0"/>
              <w:numPr>
                <w:ilvl w:val="0"/>
                <w:numId w:val="0"/>
              </w:numPr>
              <w:jc w:val="center"/>
              <w:textAlignment w:val="baseline"/>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烘干出成率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人工采收</w:t>
            </w:r>
          </w:p>
        </w:tc>
        <w:tc>
          <w:tcPr>
            <w:tcW w:w="1938"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98%</w:t>
            </w:r>
          </w:p>
        </w:tc>
        <w:tc>
          <w:tcPr>
            <w:tcW w:w="1470"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95%</w:t>
            </w:r>
          </w:p>
        </w:tc>
        <w:tc>
          <w:tcPr>
            <w:tcW w:w="1705"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90%</w:t>
            </w:r>
          </w:p>
        </w:tc>
        <w:tc>
          <w:tcPr>
            <w:tcW w:w="1705"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85%</w:t>
            </w:r>
          </w:p>
        </w:tc>
      </w:tr>
    </w:tbl>
    <w:p>
      <w:pPr>
        <w:pStyle w:val="2"/>
        <w:numPr>
          <w:ilvl w:val="0"/>
          <w:numId w:val="0"/>
        </w:numPr>
        <w:jc w:val="cente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表3   保银829（小椒）出成率</w:t>
      </w:r>
    </w:p>
    <w:tbl>
      <w:tblPr>
        <w:tblStyle w:val="10"/>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923"/>
        <w:gridCol w:w="148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Pr>
          <w:p>
            <w:pPr>
              <w:pStyle w:val="2"/>
              <w:widowControl w:val="0"/>
              <w:numPr>
                <w:ilvl w:val="0"/>
                <w:numId w:val="0"/>
              </w:numPr>
              <w:jc w:val="center"/>
              <w:textAlignment w:val="baseline"/>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不同采收方式</w:t>
            </w:r>
          </w:p>
        </w:tc>
        <w:tc>
          <w:tcPr>
            <w:tcW w:w="1923"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人工采收出成率</w:t>
            </w:r>
          </w:p>
        </w:tc>
        <w:tc>
          <w:tcPr>
            <w:tcW w:w="1485"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清选出成率</w:t>
            </w:r>
          </w:p>
        </w:tc>
        <w:tc>
          <w:tcPr>
            <w:tcW w:w="1705"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色选出成率</w:t>
            </w:r>
          </w:p>
        </w:tc>
        <w:tc>
          <w:tcPr>
            <w:tcW w:w="1705" w:type="dxa"/>
          </w:tcPr>
          <w:p>
            <w:pPr>
              <w:pStyle w:val="2"/>
              <w:widowControl w:val="0"/>
              <w:numPr>
                <w:ilvl w:val="0"/>
                <w:numId w:val="0"/>
              </w:numPr>
              <w:jc w:val="center"/>
              <w:textAlignment w:val="baseline"/>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烘干出成、率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人工抖料</w:t>
            </w:r>
          </w:p>
        </w:tc>
        <w:tc>
          <w:tcPr>
            <w:tcW w:w="1923"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95%</w:t>
            </w:r>
          </w:p>
        </w:tc>
        <w:tc>
          <w:tcPr>
            <w:tcW w:w="1485"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53%</w:t>
            </w:r>
          </w:p>
        </w:tc>
        <w:tc>
          <w:tcPr>
            <w:tcW w:w="1705"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50%</w:t>
            </w:r>
          </w:p>
        </w:tc>
        <w:tc>
          <w:tcPr>
            <w:tcW w:w="1705"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机械采收</w:t>
            </w:r>
          </w:p>
        </w:tc>
        <w:tc>
          <w:tcPr>
            <w:tcW w:w="1923"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93%</w:t>
            </w:r>
          </w:p>
        </w:tc>
        <w:tc>
          <w:tcPr>
            <w:tcW w:w="1485"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50%</w:t>
            </w:r>
          </w:p>
        </w:tc>
        <w:tc>
          <w:tcPr>
            <w:tcW w:w="1705"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47%</w:t>
            </w:r>
          </w:p>
        </w:tc>
        <w:tc>
          <w:tcPr>
            <w:tcW w:w="1705" w:type="dxa"/>
          </w:tcPr>
          <w:p>
            <w:pPr>
              <w:pStyle w:val="2"/>
              <w:widowControl w:val="0"/>
              <w:numPr>
                <w:ilvl w:val="0"/>
                <w:numId w:val="0"/>
              </w:numPr>
              <w:jc w:val="center"/>
              <w:textAlignment w:val="baseline"/>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42%</w:t>
            </w:r>
          </w:p>
        </w:tc>
      </w:tr>
    </w:tbl>
    <w:p>
      <w:pPr>
        <w:pStyle w:val="2"/>
        <w:widowControl w:val="0"/>
        <w:numPr>
          <w:ilvl w:val="0"/>
          <w:numId w:val="0"/>
        </w:numPr>
        <w:jc w:val="both"/>
        <w:textAlignment w:val="baseline"/>
        <w:rPr>
          <w:rFonts w:hint="eastAsia" w:ascii="宋体" w:hAnsi="宋体" w:eastAsia="宋体" w:cs="宋体"/>
          <w:sz w:val="32"/>
          <w:szCs w:val="32"/>
          <w:lang w:val="en-US" w:eastAsia="zh-CN"/>
        </w:rPr>
      </w:pPr>
    </w:p>
    <w:p>
      <w:pPr>
        <w:pStyle w:val="2"/>
        <w:widowControl w:val="0"/>
        <w:numPr>
          <w:ilvl w:val="0"/>
          <w:numId w:val="3"/>
        </w:numPr>
        <w:ind w:left="0" w:leftChars="0" w:firstLine="640" w:firstLineChars="200"/>
        <w:jc w:val="both"/>
        <w:textAlignment w:val="baseline"/>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外地客户及协会提出的辣椒质量要求</w:t>
      </w:r>
    </w:p>
    <w:p>
      <w:pPr>
        <w:pStyle w:val="2"/>
        <w:widowControl w:val="0"/>
        <w:numPr>
          <w:ilvl w:val="0"/>
          <w:numId w:val="0"/>
        </w:numPr>
        <w:ind w:firstLine="640" w:firstLineChars="200"/>
        <w:jc w:val="both"/>
        <w:textAlignment w:val="baseline"/>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重庆红润农产品有限公司、重庆干辣椒销售协会提出的收购质量要求方案：</w:t>
      </w:r>
    </w:p>
    <w:p>
      <w:pPr>
        <w:pStyle w:val="2"/>
        <w:widowControl w:val="0"/>
        <w:numPr>
          <w:ilvl w:val="0"/>
          <w:numId w:val="0"/>
        </w:numPr>
        <w:ind w:firstLine="640" w:firstLineChars="200"/>
        <w:jc w:val="both"/>
        <w:textAlignment w:val="baseline"/>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干辣椒收购质量要求：色泽鲜红或深红色、无霉变、无花皮、无掺加辣椒籽、身干洁净、不含有其它杂质、水份含量朝天椒在14%-16%以内、大辣椒（色素椒类型）16%-18%允许范围之内（满足最新相关国家标准、地方标准及行业标准）。</w:t>
      </w:r>
    </w:p>
    <w:p>
      <w:pPr>
        <w:pStyle w:val="2"/>
        <w:widowControl w:val="0"/>
        <w:numPr>
          <w:ilvl w:val="0"/>
          <w:numId w:val="0"/>
        </w:numPr>
        <w:ind w:firstLine="640" w:firstLineChars="200"/>
        <w:jc w:val="both"/>
        <w:textAlignment w:val="baseline"/>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（2）鲜辣椒经晒干或烘干后的干辣椒，具有本品种固有的正常形状。</w:t>
      </w:r>
    </w:p>
    <w:p>
      <w:pPr>
        <w:pStyle w:val="2"/>
        <w:widowControl w:val="0"/>
        <w:numPr>
          <w:ilvl w:val="0"/>
          <w:numId w:val="0"/>
        </w:numPr>
        <w:jc w:val="both"/>
        <w:textAlignment w:val="baseline"/>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（3）感官要求应符合表4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15" w:lineRule="auto"/>
        <w:ind w:firstLine="2240" w:firstLineChars="700"/>
        <w:jc w:val="both"/>
        <w:textAlignment w:val="baseline"/>
        <w:rPr>
          <w:rFonts w:hint="eastAsia" w:ascii="宋体" w:hAnsi="宋体" w:eastAsia="宋体" w:cs="宋体"/>
          <w:sz w:val="32"/>
          <w:szCs w:val="32"/>
          <w:lang w:val="en-US" w:eastAsia="zh-CN"/>
        </w:rPr>
      </w:pPr>
      <w:r>
        <w:rPr>
          <w:rFonts w:hint="default" w:ascii="方正仿宋_GBK" w:hAnsi="方正仿宋_GBK" w:eastAsia="方正仿宋_GBK" w:cs="方正仿宋_GBK"/>
          <w:sz w:val="32"/>
          <w:szCs w:val="32"/>
          <w:lang w:val="en-US" w:eastAsia="zh-CN"/>
        </w:rPr>
        <w:t>表</w:t>
      </w:r>
      <w:r>
        <w:rPr>
          <w:rFonts w:hint="eastAsia" w:ascii="方正仿宋_GBK" w:hAnsi="方正仿宋_GBK" w:eastAsia="方正仿宋_GBK" w:cs="方正仿宋_GBK"/>
          <w:sz w:val="32"/>
          <w:szCs w:val="32"/>
          <w:lang w:val="en-US" w:eastAsia="zh-CN"/>
        </w:rPr>
        <w:t xml:space="preserve">4  </w:t>
      </w:r>
      <w:r>
        <w:rPr>
          <w:rFonts w:hint="default" w:ascii="方正仿宋_GBK" w:hAnsi="方正仿宋_GBK" w:eastAsia="方正仿宋_GBK" w:cs="方正仿宋_GBK"/>
          <w:sz w:val="32"/>
          <w:szCs w:val="32"/>
          <w:lang w:val="en-US" w:eastAsia="zh-CN"/>
        </w:rPr>
        <w:t>感官要求</w:t>
      </w:r>
    </w:p>
    <w:tbl>
      <w:tblPr>
        <w:tblStyle w:val="9"/>
        <w:tblpPr w:leftFromText="180" w:rightFromText="180" w:vertAnchor="text" w:horzAnchor="margin" w:tblpXSpec="center" w:tblpY="729"/>
        <w:tblOverlap w:val="never"/>
        <w:tblW w:w="96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1420"/>
        <w:gridCol w:w="2507"/>
        <w:gridCol w:w="2335"/>
        <w:gridCol w:w="2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trPr>
        <w:tc>
          <w:tcPr>
            <w:tcW w:w="2109" w:type="dxa"/>
            <w:gridSpan w:val="2"/>
            <w:noWrap w:val="0"/>
            <w:vAlign w:val="center"/>
          </w:tcPr>
          <w:p>
            <w:pPr>
              <w:keepNext w:val="0"/>
              <w:keepLines w:val="0"/>
              <w:pageBreakBefore w:val="0"/>
              <w:widowControl w:val="0"/>
              <w:kinsoku/>
              <w:wordWrap/>
              <w:overflowPunct/>
              <w:topLinePunct w:val="0"/>
              <w:autoSpaceDE/>
              <w:autoSpaceDN/>
              <w:bidi w:val="0"/>
              <w:adjustRightInd/>
              <w:snapToGrid/>
              <w:spacing w:after="0" w:line="15" w:lineRule="auto"/>
              <w:jc w:val="center"/>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品     名</w:t>
            </w:r>
          </w:p>
        </w:tc>
        <w:tc>
          <w:tcPr>
            <w:tcW w:w="754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after="0" w:line="15" w:lineRule="auto"/>
              <w:jc w:val="center"/>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干 辣 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trPr>
        <w:tc>
          <w:tcPr>
            <w:tcW w:w="2109" w:type="dxa"/>
            <w:gridSpan w:val="2"/>
            <w:noWrap w:val="0"/>
            <w:vAlign w:val="center"/>
          </w:tcPr>
          <w:p>
            <w:pPr>
              <w:widowControl w:val="0"/>
              <w:spacing w:after="0"/>
              <w:jc w:val="center"/>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检验项目</w:t>
            </w:r>
          </w:p>
        </w:tc>
        <w:tc>
          <w:tcPr>
            <w:tcW w:w="2507" w:type="dxa"/>
            <w:noWrap w:val="0"/>
            <w:vAlign w:val="center"/>
          </w:tcPr>
          <w:p>
            <w:pPr>
              <w:widowControl w:val="0"/>
              <w:spacing w:after="0"/>
              <w:jc w:val="center"/>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一 级</w:t>
            </w:r>
          </w:p>
        </w:tc>
        <w:tc>
          <w:tcPr>
            <w:tcW w:w="2335" w:type="dxa"/>
            <w:noWrap w:val="0"/>
            <w:vAlign w:val="center"/>
          </w:tcPr>
          <w:p>
            <w:pPr>
              <w:widowControl w:val="0"/>
              <w:spacing w:after="0"/>
              <w:jc w:val="center"/>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二 级</w:t>
            </w:r>
          </w:p>
        </w:tc>
        <w:tc>
          <w:tcPr>
            <w:tcW w:w="2698" w:type="dxa"/>
            <w:noWrap w:val="0"/>
            <w:vAlign w:val="center"/>
          </w:tcPr>
          <w:p>
            <w:pPr>
              <w:widowControl w:val="0"/>
              <w:spacing w:after="0"/>
              <w:jc w:val="center"/>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三级</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3" w:hRule="atLeast"/>
        </w:trPr>
        <w:tc>
          <w:tcPr>
            <w:tcW w:w="689" w:type="dxa"/>
            <w:vMerge w:val="restart"/>
            <w:noWrap w:val="0"/>
            <w:vAlign w:val="center"/>
          </w:tcPr>
          <w:p>
            <w:pPr>
              <w:widowControl w:val="0"/>
              <w:spacing w:after="0"/>
              <w:jc w:val="center"/>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感</w:t>
            </w:r>
          </w:p>
          <w:p>
            <w:pPr>
              <w:widowControl w:val="0"/>
              <w:spacing w:after="0"/>
              <w:jc w:val="center"/>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观</w:t>
            </w:r>
          </w:p>
          <w:p>
            <w:pPr>
              <w:widowControl w:val="0"/>
              <w:spacing w:after="0"/>
              <w:jc w:val="center"/>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指</w:t>
            </w:r>
          </w:p>
          <w:p>
            <w:pPr>
              <w:widowControl w:val="0"/>
              <w:spacing w:after="0"/>
              <w:jc w:val="center"/>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标</w:t>
            </w:r>
          </w:p>
        </w:tc>
        <w:tc>
          <w:tcPr>
            <w:tcW w:w="1420" w:type="dxa"/>
            <w:noWrap w:val="0"/>
            <w:vAlign w:val="center"/>
          </w:tcPr>
          <w:p>
            <w:pPr>
              <w:widowControl w:val="0"/>
              <w:spacing w:after="0"/>
              <w:jc w:val="center"/>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色泽</w:t>
            </w:r>
          </w:p>
        </w:tc>
        <w:tc>
          <w:tcPr>
            <w:tcW w:w="2507" w:type="dxa"/>
            <w:noWrap w:val="0"/>
            <w:vAlign w:val="center"/>
          </w:tcPr>
          <w:p>
            <w:pPr>
              <w:widowControl w:val="0"/>
              <w:spacing w:after="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色泽鲜红或深红色，有光泽。</w:t>
            </w:r>
          </w:p>
        </w:tc>
        <w:tc>
          <w:tcPr>
            <w:tcW w:w="2335" w:type="dxa"/>
            <w:noWrap w:val="0"/>
            <w:vAlign w:val="center"/>
          </w:tcPr>
          <w:p>
            <w:pPr>
              <w:widowControl w:val="0"/>
              <w:spacing w:after="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色泽鲜红或深红色，有光泽。</w:t>
            </w:r>
          </w:p>
        </w:tc>
        <w:tc>
          <w:tcPr>
            <w:tcW w:w="2698" w:type="dxa"/>
            <w:noWrap w:val="0"/>
            <w:vAlign w:val="center"/>
          </w:tcPr>
          <w:p>
            <w:pPr>
              <w:widowControl w:val="0"/>
              <w:spacing w:after="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色泽鲜红或深红色，有光泽。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9" w:type="dxa"/>
            <w:vMerge w:val="continue"/>
            <w:noWrap w:val="0"/>
            <w:vAlign w:val="center"/>
          </w:tcPr>
          <w:p>
            <w:pPr>
              <w:widowControl w:val="0"/>
              <w:spacing w:after="0"/>
              <w:ind w:left="991" w:leftChars="172" w:hanging="630" w:hangingChars="300"/>
              <w:jc w:val="center"/>
              <w:rPr>
                <w:rFonts w:hint="eastAsia" w:ascii="宋体" w:hAnsi="宋体" w:eastAsia="宋体" w:cs="Times New Roman"/>
                <w:bCs/>
                <w:kern w:val="2"/>
                <w:sz w:val="21"/>
                <w:szCs w:val="21"/>
                <w:lang w:val="en-US" w:eastAsia="zh-CN" w:bidi="ar-SA"/>
              </w:rPr>
            </w:pPr>
          </w:p>
        </w:tc>
        <w:tc>
          <w:tcPr>
            <w:tcW w:w="1420" w:type="dxa"/>
            <w:noWrap w:val="0"/>
            <w:vAlign w:val="center"/>
          </w:tcPr>
          <w:p>
            <w:pPr>
              <w:widowControl w:val="0"/>
              <w:spacing w:after="0"/>
              <w:jc w:val="center"/>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形态</w:t>
            </w:r>
          </w:p>
        </w:tc>
        <w:tc>
          <w:tcPr>
            <w:tcW w:w="2507" w:type="dxa"/>
            <w:noWrap w:val="0"/>
            <w:vAlign w:val="center"/>
          </w:tcPr>
          <w:p>
            <w:pPr>
              <w:widowControl w:val="0"/>
              <w:spacing w:after="0"/>
              <w:jc w:val="both"/>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辣椒大小均匀</w:t>
            </w:r>
          </w:p>
        </w:tc>
        <w:tc>
          <w:tcPr>
            <w:tcW w:w="2335" w:type="dxa"/>
            <w:noWrap w:val="0"/>
            <w:vAlign w:val="center"/>
          </w:tcPr>
          <w:p>
            <w:pPr>
              <w:widowControl w:val="0"/>
              <w:spacing w:after="0"/>
              <w:jc w:val="both"/>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辣椒大小均匀</w:t>
            </w:r>
          </w:p>
        </w:tc>
        <w:tc>
          <w:tcPr>
            <w:tcW w:w="2698" w:type="dxa"/>
            <w:noWrap w:val="0"/>
            <w:vAlign w:val="center"/>
          </w:tcPr>
          <w:p>
            <w:pPr>
              <w:widowControl w:val="0"/>
              <w:spacing w:after="0"/>
              <w:jc w:val="both"/>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辣椒大小基本均匀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9" w:type="dxa"/>
            <w:vMerge w:val="continue"/>
            <w:noWrap w:val="0"/>
            <w:vAlign w:val="center"/>
          </w:tcPr>
          <w:p>
            <w:pPr>
              <w:widowControl w:val="0"/>
              <w:spacing w:after="0"/>
              <w:ind w:left="991" w:leftChars="172" w:hanging="630" w:hangingChars="300"/>
              <w:jc w:val="center"/>
              <w:rPr>
                <w:rFonts w:hint="eastAsia" w:ascii="宋体" w:hAnsi="宋体" w:eastAsia="宋体" w:cs="Times New Roman"/>
                <w:bCs/>
                <w:kern w:val="2"/>
                <w:sz w:val="21"/>
                <w:szCs w:val="21"/>
                <w:lang w:val="en-US" w:eastAsia="zh-CN" w:bidi="ar-SA"/>
              </w:rPr>
            </w:pPr>
          </w:p>
        </w:tc>
        <w:tc>
          <w:tcPr>
            <w:tcW w:w="1420" w:type="dxa"/>
            <w:noWrap w:val="0"/>
            <w:vAlign w:val="center"/>
          </w:tcPr>
          <w:p>
            <w:pPr>
              <w:widowControl w:val="0"/>
              <w:spacing w:after="0"/>
              <w:jc w:val="center"/>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气味</w:t>
            </w:r>
          </w:p>
        </w:tc>
        <w:tc>
          <w:tcPr>
            <w:tcW w:w="2507" w:type="dxa"/>
            <w:noWrap w:val="0"/>
            <w:vAlign w:val="center"/>
          </w:tcPr>
          <w:p>
            <w:pPr>
              <w:widowControl w:val="0"/>
              <w:spacing w:after="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有辣椒特有香气，无不良气味。</w:t>
            </w:r>
          </w:p>
        </w:tc>
        <w:tc>
          <w:tcPr>
            <w:tcW w:w="2335" w:type="dxa"/>
            <w:noWrap w:val="0"/>
            <w:vAlign w:val="center"/>
          </w:tcPr>
          <w:p>
            <w:pPr>
              <w:widowControl w:val="0"/>
              <w:spacing w:after="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有辣椒特有香气，无不良气味。</w:t>
            </w:r>
          </w:p>
        </w:tc>
        <w:tc>
          <w:tcPr>
            <w:tcW w:w="2698" w:type="dxa"/>
            <w:noWrap w:val="0"/>
            <w:vAlign w:val="center"/>
          </w:tcPr>
          <w:p>
            <w:pPr>
              <w:widowControl w:val="0"/>
              <w:spacing w:after="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有辣椒特有香气，无不良气味。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9" w:type="dxa"/>
            <w:vMerge w:val="continue"/>
            <w:noWrap w:val="0"/>
            <w:vAlign w:val="center"/>
          </w:tcPr>
          <w:p>
            <w:pPr>
              <w:widowControl w:val="0"/>
              <w:spacing w:after="0"/>
              <w:ind w:left="991" w:leftChars="172" w:hanging="630" w:hangingChars="300"/>
              <w:jc w:val="center"/>
              <w:rPr>
                <w:rFonts w:hint="eastAsia" w:ascii="宋体" w:hAnsi="宋体" w:eastAsia="宋体" w:cs="Times New Roman"/>
                <w:bCs/>
                <w:kern w:val="2"/>
                <w:sz w:val="21"/>
                <w:szCs w:val="21"/>
                <w:lang w:val="en-US" w:eastAsia="zh-CN" w:bidi="ar-SA"/>
              </w:rPr>
            </w:pPr>
          </w:p>
        </w:tc>
        <w:tc>
          <w:tcPr>
            <w:tcW w:w="1420" w:type="dxa"/>
            <w:noWrap w:val="0"/>
            <w:vAlign w:val="center"/>
          </w:tcPr>
          <w:p>
            <w:pPr>
              <w:widowControl w:val="0"/>
              <w:spacing w:after="0"/>
              <w:jc w:val="center"/>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滋味</w:t>
            </w:r>
          </w:p>
        </w:tc>
        <w:tc>
          <w:tcPr>
            <w:tcW w:w="2507" w:type="dxa"/>
            <w:noWrap w:val="0"/>
            <w:vAlign w:val="center"/>
          </w:tcPr>
          <w:p>
            <w:pPr>
              <w:widowControl w:val="0"/>
              <w:spacing w:after="0"/>
              <w:jc w:val="both"/>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辣度适合，无不良滋味。</w:t>
            </w:r>
          </w:p>
        </w:tc>
        <w:tc>
          <w:tcPr>
            <w:tcW w:w="2335" w:type="dxa"/>
            <w:noWrap w:val="0"/>
            <w:vAlign w:val="center"/>
          </w:tcPr>
          <w:p>
            <w:pPr>
              <w:widowControl w:val="0"/>
              <w:spacing w:after="0"/>
              <w:jc w:val="both"/>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辣度适合，无不良滋味。</w:t>
            </w:r>
          </w:p>
        </w:tc>
        <w:tc>
          <w:tcPr>
            <w:tcW w:w="2698" w:type="dxa"/>
            <w:noWrap w:val="0"/>
            <w:vAlign w:val="center"/>
          </w:tcPr>
          <w:p>
            <w:pPr>
              <w:widowControl w:val="0"/>
              <w:spacing w:after="0"/>
              <w:jc w:val="both"/>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辣度适合，无不良滋味。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9" w:type="dxa"/>
            <w:vMerge w:val="continue"/>
            <w:noWrap w:val="0"/>
            <w:vAlign w:val="center"/>
          </w:tcPr>
          <w:p>
            <w:pPr>
              <w:widowControl w:val="0"/>
              <w:spacing w:after="0"/>
              <w:ind w:left="991" w:leftChars="172" w:hanging="630" w:hangingChars="300"/>
              <w:jc w:val="center"/>
              <w:rPr>
                <w:rFonts w:hint="eastAsia" w:ascii="宋体" w:hAnsi="宋体" w:eastAsia="宋体" w:cs="Times New Roman"/>
                <w:bCs/>
                <w:kern w:val="2"/>
                <w:sz w:val="21"/>
                <w:szCs w:val="21"/>
                <w:lang w:val="en-US" w:eastAsia="zh-CN" w:bidi="ar-SA"/>
              </w:rPr>
            </w:pPr>
          </w:p>
        </w:tc>
        <w:tc>
          <w:tcPr>
            <w:tcW w:w="1420" w:type="dxa"/>
            <w:noWrap w:val="0"/>
            <w:vAlign w:val="center"/>
          </w:tcPr>
          <w:p>
            <w:pPr>
              <w:widowControl w:val="0"/>
              <w:spacing w:after="0"/>
              <w:jc w:val="center"/>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杂质</w:t>
            </w:r>
          </w:p>
        </w:tc>
        <w:tc>
          <w:tcPr>
            <w:tcW w:w="2507" w:type="dxa"/>
            <w:noWrap w:val="0"/>
            <w:vAlign w:val="center"/>
          </w:tcPr>
          <w:p>
            <w:pPr>
              <w:widowControl w:val="0"/>
              <w:spacing w:after="0"/>
              <w:jc w:val="both"/>
              <w:rPr>
                <w:rFonts w:hint="default"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带把或去梗去蒂，无外来杂质。（无辣椒枝大小枝干）</w:t>
            </w:r>
          </w:p>
          <w:p>
            <w:pPr>
              <w:widowControl w:val="0"/>
              <w:spacing w:after="0"/>
              <w:jc w:val="both"/>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杂质≤3%</w:t>
            </w:r>
          </w:p>
        </w:tc>
        <w:tc>
          <w:tcPr>
            <w:tcW w:w="2335" w:type="dxa"/>
            <w:noWrap w:val="0"/>
            <w:vAlign w:val="center"/>
          </w:tcPr>
          <w:p>
            <w:pPr>
              <w:widowControl w:val="0"/>
              <w:spacing w:after="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带把或去梗去蒂，无外来杂质。（无辣椒枝大小枝干）</w:t>
            </w:r>
          </w:p>
          <w:p>
            <w:pPr>
              <w:widowControl w:val="0"/>
              <w:spacing w:after="0"/>
              <w:jc w:val="both"/>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杂质≤4%</w:t>
            </w:r>
          </w:p>
        </w:tc>
        <w:tc>
          <w:tcPr>
            <w:tcW w:w="2698" w:type="dxa"/>
            <w:noWrap w:val="0"/>
            <w:vAlign w:val="center"/>
          </w:tcPr>
          <w:p>
            <w:pPr>
              <w:widowControl w:val="0"/>
              <w:spacing w:after="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带把或去梗去蒂，无外来杂质。（无辣椒枝大小枝干）</w:t>
            </w:r>
          </w:p>
          <w:p>
            <w:pPr>
              <w:widowControl w:val="0"/>
              <w:spacing w:after="0"/>
              <w:jc w:val="both"/>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杂质≤5%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9" w:type="dxa"/>
            <w:vMerge w:val="continue"/>
            <w:noWrap w:val="0"/>
            <w:vAlign w:val="center"/>
          </w:tcPr>
          <w:p>
            <w:pPr>
              <w:widowControl w:val="0"/>
              <w:spacing w:after="0"/>
              <w:ind w:left="991" w:leftChars="172" w:hanging="630" w:hangingChars="300"/>
              <w:jc w:val="center"/>
              <w:rPr>
                <w:rFonts w:hint="eastAsia" w:ascii="宋体" w:hAnsi="宋体" w:eastAsia="宋体" w:cs="Times New Roman"/>
                <w:bCs/>
                <w:kern w:val="2"/>
                <w:sz w:val="21"/>
                <w:szCs w:val="21"/>
                <w:lang w:val="en-US" w:eastAsia="zh-CN" w:bidi="ar-SA"/>
              </w:rPr>
            </w:pPr>
          </w:p>
        </w:tc>
        <w:tc>
          <w:tcPr>
            <w:tcW w:w="1420" w:type="dxa"/>
            <w:noWrap w:val="0"/>
            <w:vAlign w:val="center"/>
          </w:tcPr>
          <w:p>
            <w:pPr>
              <w:widowControl w:val="0"/>
              <w:spacing w:after="0"/>
              <w:jc w:val="center"/>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霉变</w:t>
            </w:r>
          </w:p>
        </w:tc>
        <w:tc>
          <w:tcPr>
            <w:tcW w:w="2507" w:type="dxa"/>
            <w:noWrap w:val="0"/>
            <w:vAlign w:val="center"/>
          </w:tcPr>
          <w:p>
            <w:pPr>
              <w:widowControl w:val="0"/>
              <w:spacing w:after="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无腐烂变质。</w:t>
            </w:r>
          </w:p>
          <w:p>
            <w:pPr>
              <w:widowControl w:val="0"/>
              <w:spacing w:after="0"/>
              <w:jc w:val="both"/>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霉变椒≤2.0%</w:t>
            </w:r>
          </w:p>
        </w:tc>
        <w:tc>
          <w:tcPr>
            <w:tcW w:w="2335" w:type="dxa"/>
            <w:noWrap w:val="0"/>
            <w:vAlign w:val="center"/>
          </w:tcPr>
          <w:p>
            <w:pPr>
              <w:widowControl w:val="0"/>
              <w:spacing w:after="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无腐烂变质。</w:t>
            </w:r>
          </w:p>
          <w:p>
            <w:pPr>
              <w:widowControl w:val="0"/>
              <w:spacing w:after="0"/>
              <w:jc w:val="both"/>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霉变椒≤5.0%</w:t>
            </w:r>
          </w:p>
        </w:tc>
        <w:tc>
          <w:tcPr>
            <w:tcW w:w="2698" w:type="dxa"/>
            <w:noWrap w:val="0"/>
            <w:vAlign w:val="center"/>
          </w:tcPr>
          <w:p>
            <w:pPr>
              <w:widowControl w:val="0"/>
              <w:spacing w:after="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无腐烂变质。</w:t>
            </w:r>
          </w:p>
          <w:p>
            <w:pPr>
              <w:widowControl w:val="0"/>
              <w:spacing w:after="0"/>
              <w:jc w:val="both"/>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霉变椒≤8.0%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9" w:type="dxa"/>
            <w:vMerge w:val="continue"/>
            <w:noWrap w:val="0"/>
            <w:vAlign w:val="center"/>
          </w:tcPr>
          <w:p>
            <w:pPr>
              <w:widowControl w:val="0"/>
              <w:spacing w:after="0"/>
              <w:ind w:left="991" w:leftChars="172" w:hanging="630" w:hangingChars="300"/>
              <w:jc w:val="center"/>
              <w:rPr>
                <w:rFonts w:hint="eastAsia" w:ascii="宋体" w:hAnsi="宋体" w:eastAsia="宋体" w:cs="Times New Roman"/>
                <w:bCs/>
                <w:kern w:val="2"/>
                <w:sz w:val="21"/>
                <w:szCs w:val="21"/>
                <w:lang w:val="en-US" w:eastAsia="zh-CN" w:bidi="ar-SA"/>
              </w:rPr>
            </w:pPr>
          </w:p>
        </w:tc>
        <w:tc>
          <w:tcPr>
            <w:tcW w:w="1420" w:type="dxa"/>
            <w:noWrap w:val="0"/>
            <w:vAlign w:val="center"/>
          </w:tcPr>
          <w:p>
            <w:pPr>
              <w:widowControl w:val="0"/>
              <w:spacing w:after="0"/>
              <w:jc w:val="center"/>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异色椒/花斑椒</w:t>
            </w:r>
          </w:p>
        </w:tc>
        <w:tc>
          <w:tcPr>
            <w:tcW w:w="2507" w:type="dxa"/>
            <w:noWrap w:val="0"/>
            <w:vAlign w:val="center"/>
          </w:tcPr>
          <w:p>
            <w:pPr>
              <w:widowControl w:val="0"/>
              <w:spacing w:after="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异色椒/花斑椒≤5.0%；</w:t>
            </w:r>
          </w:p>
        </w:tc>
        <w:tc>
          <w:tcPr>
            <w:tcW w:w="2335" w:type="dxa"/>
            <w:noWrap w:val="0"/>
            <w:vAlign w:val="center"/>
          </w:tcPr>
          <w:p>
            <w:pPr>
              <w:widowControl w:val="0"/>
              <w:spacing w:after="12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异色椒/花斑椒≤10.0%</w:t>
            </w:r>
          </w:p>
        </w:tc>
        <w:tc>
          <w:tcPr>
            <w:tcW w:w="2698" w:type="dxa"/>
            <w:noWrap w:val="0"/>
            <w:vAlign w:val="center"/>
          </w:tcPr>
          <w:p>
            <w:pPr>
              <w:widowControl w:val="0"/>
              <w:spacing w:after="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异色椒/花斑椒≤15.0%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09" w:type="dxa"/>
            <w:gridSpan w:val="2"/>
            <w:noWrap w:val="0"/>
            <w:vAlign w:val="center"/>
          </w:tcPr>
          <w:p>
            <w:pPr>
              <w:widowControl w:val="0"/>
              <w:spacing w:after="0"/>
              <w:jc w:val="center"/>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农药残留量</w:t>
            </w:r>
          </w:p>
        </w:tc>
        <w:tc>
          <w:tcPr>
            <w:tcW w:w="7540" w:type="dxa"/>
            <w:gridSpan w:val="3"/>
            <w:noWrap w:val="0"/>
            <w:vAlign w:val="center"/>
          </w:tcPr>
          <w:p>
            <w:pPr>
              <w:widowControl w:val="0"/>
              <w:spacing w:after="0"/>
              <w:jc w:val="left"/>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农残速检合格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09" w:type="dxa"/>
            <w:gridSpan w:val="2"/>
            <w:noWrap w:val="0"/>
            <w:vAlign w:val="center"/>
          </w:tcPr>
          <w:p>
            <w:pPr>
              <w:widowControl w:val="0"/>
              <w:spacing w:after="0"/>
              <w:jc w:val="center"/>
              <w:rPr>
                <w:rFonts w:hint="eastAsia" w:ascii="宋体" w:hAnsi="宋体" w:eastAsia="宋体" w:cs="Times New Roman"/>
                <w:bCs/>
                <w:kern w:val="2"/>
                <w:sz w:val="21"/>
                <w:szCs w:val="21"/>
                <w:lang w:val="en-US" w:eastAsia="zh-CN" w:bidi="ar-SA"/>
              </w:rPr>
            </w:pPr>
          </w:p>
        </w:tc>
        <w:tc>
          <w:tcPr>
            <w:tcW w:w="7540" w:type="dxa"/>
            <w:gridSpan w:val="3"/>
            <w:noWrap w:val="0"/>
            <w:vAlign w:val="center"/>
          </w:tcPr>
          <w:p>
            <w:pPr>
              <w:widowControl w:val="0"/>
              <w:spacing w:after="0"/>
              <w:jc w:val="left"/>
              <w:rPr>
                <w:rFonts w:hint="eastAsia" w:ascii="宋体" w:hAnsi="宋体" w:eastAsia="宋体" w:cs="Times New Roman"/>
                <w:bCs/>
                <w:kern w:val="2"/>
                <w:sz w:val="21"/>
                <w:szCs w:val="21"/>
                <w:lang w:val="en-US" w:eastAsia="zh-CN" w:bidi="ar-SA"/>
              </w:rPr>
            </w:pPr>
          </w:p>
        </w:tc>
      </w:tr>
    </w:tbl>
    <w:p>
      <w:pPr>
        <w:pStyle w:val="2"/>
        <w:widowControl w:val="0"/>
        <w:numPr>
          <w:ilvl w:val="0"/>
          <w:numId w:val="4"/>
        </w:numPr>
        <w:jc w:val="both"/>
        <w:textAlignment w:val="baseline"/>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理化指标见表5。</w:t>
      </w:r>
    </w:p>
    <w:p>
      <w:pPr>
        <w:pStyle w:val="2"/>
        <w:widowControl w:val="0"/>
        <w:numPr>
          <w:ilvl w:val="0"/>
          <w:numId w:val="0"/>
        </w:numPr>
        <w:ind w:firstLine="3206" w:firstLineChars="1002"/>
        <w:jc w:val="both"/>
        <w:textAlignment w:val="baseline"/>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表5  理化指标</w:t>
      </w:r>
    </w:p>
    <w:tbl>
      <w:tblPr>
        <w:tblStyle w:val="9"/>
        <w:tblW w:w="972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88"/>
        <w:gridCol w:w="2685"/>
        <w:gridCol w:w="3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 w:hRule="atLeast"/>
        </w:trPr>
        <w:tc>
          <w:tcPr>
            <w:tcW w:w="5773" w:type="dxa"/>
            <w:gridSpan w:val="2"/>
            <w:noWrap w:val="0"/>
            <w:vAlign w:val="center"/>
          </w:tcPr>
          <w:p>
            <w:pPr>
              <w:spacing w:line="360" w:lineRule="auto"/>
              <w:jc w:val="center"/>
              <w:rPr>
                <w:rFonts w:hint="eastAsia" w:ascii="宋体" w:hAnsi="宋体" w:eastAsia="宋体" w:cs="Tahoma"/>
                <w:bCs/>
                <w:color w:val="000000"/>
                <w:kern w:val="0"/>
                <w:sz w:val="21"/>
                <w:szCs w:val="21"/>
              </w:rPr>
            </w:pPr>
            <w:r>
              <w:rPr>
                <w:rFonts w:hint="eastAsia" w:ascii="宋体" w:hAnsi="宋体" w:eastAsia="宋体" w:cs="Tahoma"/>
                <w:bCs/>
                <w:color w:val="000000"/>
                <w:kern w:val="0"/>
                <w:sz w:val="21"/>
                <w:szCs w:val="21"/>
              </w:rPr>
              <w:t>项目</w:t>
            </w:r>
          </w:p>
        </w:tc>
        <w:tc>
          <w:tcPr>
            <w:tcW w:w="3947" w:type="dxa"/>
            <w:noWrap w:val="0"/>
            <w:vAlign w:val="center"/>
          </w:tcPr>
          <w:p>
            <w:pPr>
              <w:spacing w:line="360" w:lineRule="auto"/>
              <w:jc w:val="center"/>
              <w:rPr>
                <w:rFonts w:hint="eastAsia" w:ascii="宋体" w:hAnsi="宋体" w:eastAsia="宋体" w:cs="Tahoma"/>
                <w:bCs/>
                <w:color w:val="000000"/>
                <w:kern w:val="0"/>
                <w:sz w:val="21"/>
                <w:szCs w:val="21"/>
              </w:rPr>
            </w:pPr>
            <w:r>
              <w:rPr>
                <w:rFonts w:hint="eastAsia" w:ascii="宋体" w:hAnsi="宋体" w:eastAsia="宋体" w:cs="Tahoma"/>
                <w:bCs/>
                <w:color w:val="000000"/>
                <w:kern w:val="0"/>
                <w:sz w:val="21"/>
                <w:szCs w:val="21"/>
              </w:rPr>
              <w:t>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3088" w:type="dxa"/>
            <w:noWrap w:val="0"/>
            <w:vAlign w:val="center"/>
          </w:tcPr>
          <w:p>
            <w:pPr>
              <w:spacing w:line="360" w:lineRule="auto"/>
              <w:jc w:val="center"/>
              <w:rPr>
                <w:rFonts w:hint="default" w:ascii="宋体" w:hAnsi="宋体" w:eastAsia="宋体" w:cs="Tahoma"/>
                <w:bCs/>
                <w:color w:val="000000"/>
                <w:kern w:val="0"/>
                <w:sz w:val="21"/>
                <w:szCs w:val="21"/>
                <w:lang w:val="en-US" w:eastAsia="zh-CN"/>
              </w:rPr>
            </w:pPr>
            <w:r>
              <w:rPr>
                <w:rFonts w:hint="eastAsia" w:ascii="宋体" w:hAnsi="宋体" w:eastAsia="宋体" w:cs="Tahoma"/>
                <w:bCs/>
                <w:color w:val="000000"/>
                <w:kern w:val="0"/>
                <w:sz w:val="21"/>
                <w:szCs w:val="21"/>
                <w:lang w:val="en-US" w:eastAsia="zh-CN"/>
              </w:rPr>
              <w:t>小椒类</w:t>
            </w:r>
          </w:p>
        </w:tc>
        <w:tc>
          <w:tcPr>
            <w:tcW w:w="2685" w:type="dxa"/>
            <w:noWrap w:val="0"/>
            <w:vAlign w:val="center"/>
          </w:tcPr>
          <w:p>
            <w:pPr>
              <w:spacing w:line="360" w:lineRule="auto"/>
              <w:jc w:val="center"/>
              <w:rPr>
                <w:rFonts w:hint="eastAsia" w:ascii="宋体" w:hAnsi="宋体" w:eastAsia="宋体" w:cs="Tahoma"/>
                <w:bCs/>
                <w:color w:val="000000"/>
                <w:kern w:val="0"/>
                <w:sz w:val="21"/>
                <w:szCs w:val="21"/>
              </w:rPr>
            </w:pPr>
            <w:r>
              <w:rPr>
                <w:rFonts w:hint="eastAsia" w:ascii="宋体" w:hAnsi="宋体" w:eastAsia="宋体" w:cs="Tahoma"/>
                <w:bCs/>
                <w:color w:val="000000"/>
                <w:kern w:val="0"/>
                <w:sz w:val="21"/>
                <w:szCs w:val="21"/>
              </w:rPr>
              <w:t>水分</w:t>
            </w:r>
          </w:p>
        </w:tc>
        <w:tc>
          <w:tcPr>
            <w:tcW w:w="3947" w:type="dxa"/>
            <w:noWrap w:val="0"/>
            <w:vAlign w:val="center"/>
          </w:tcPr>
          <w:p>
            <w:pPr>
              <w:spacing w:line="360" w:lineRule="auto"/>
              <w:jc w:val="center"/>
              <w:rPr>
                <w:rFonts w:hint="eastAsia" w:ascii="宋体" w:hAnsi="宋体" w:eastAsia="宋体" w:cs="Tahoma"/>
                <w:bCs/>
                <w:color w:val="000000"/>
                <w:kern w:val="0"/>
                <w:sz w:val="21"/>
                <w:szCs w:val="21"/>
                <w:lang w:val="en-US" w:eastAsia="zh-CN"/>
              </w:rPr>
            </w:pPr>
            <w:r>
              <w:rPr>
                <w:rFonts w:hint="eastAsia" w:ascii="宋体" w:hAnsi="宋体" w:eastAsia="宋体" w:cs="Times New Roman"/>
                <w:bCs/>
                <w:color w:val="000000"/>
                <w:sz w:val="21"/>
                <w:szCs w:val="21"/>
              </w:rPr>
              <w:t>≤1</w:t>
            </w:r>
            <w:r>
              <w:rPr>
                <w:rFonts w:hint="eastAsia" w:ascii="宋体" w:hAnsi="宋体" w:eastAsia="宋体" w:cs="Times New Roman"/>
                <w:bCs/>
                <w:color w:val="000000"/>
                <w:sz w:val="21"/>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3088" w:type="dxa"/>
            <w:noWrap w:val="0"/>
            <w:vAlign w:val="center"/>
          </w:tcPr>
          <w:p>
            <w:pPr>
              <w:spacing w:line="360" w:lineRule="auto"/>
              <w:jc w:val="center"/>
              <w:rPr>
                <w:rFonts w:hint="default" w:ascii="宋体" w:hAnsi="宋体" w:eastAsia="宋体" w:cs="Tahoma"/>
                <w:bCs/>
                <w:color w:val="000000"/>
                <w:kern w:val="0"/>
                <w:sz w:val="21"/>
                <w:szCs w:val="21"/>
                <w:lang w:val="en-US" w:eastAsia="zh-CN"/>
              </w:rPr>
            </w:pPr>
            <w:r>
              <w:rPr>
                <w:rFonts w:hint="eastAsia" w:ascii="宋体" w:hAnsi="宋体" w:eastAsia="宋体" w:cs="Tahoma"/>
                <w:bCs/>
                <w:color w:val="000000"/>
                <w:kern w:val="0"/>
                <w:sz w:val="21"/>
                <w:szCs w:val="21"/>
                <w:lang w:val="en-US" w:eastAsia="zh-CN"/>
              </w:rPr>
              <w:t>二荆条、线椒类</w:t>
            </w:r>
          </w:p>
        </w:tc>
        <w:tc>
          <w:tcPr>
            <w:tcW w:w="2685" w:type="dxa"/>
            <w:noWrap w:val="0"/>
            <w:vAlign w:val="center"/>
          </w:tcPr>
          <w:p>
            <w:pPr>
              <w:spacing w:line="360" w:lineRule="auto"/>
              <w:jc w:val="center"/>
              <w:rPr>
                <w:rFonts w:hint="eastAsia" w:ascii="宋体" w:hAnsi="宋体" w:eastAsia="宋体" w:cs="Tahoma"/>
                <w:bCs/>
                <w:color w:val="000000"/>
                <w:kern w:val="0"/>
                <w:sz w:val="21"/>
                <w:szCs w:val="21"/>
              </w:rPr>
            </w:pPr>
            <w:r>
              <w:rPr>
                <w:rFonts w:hint="eastAsia" w:ascii="宋体" w:hAnsi="宋体" w:eastAsia="宋体" w:cs="Tahoma"/>
                <w:bCs/>
                <w:color w:val="000000"/>
                <w:kern w:val="0"/>
                <w:sz w:val="21"/>
                <w:szCs w:val="21"/>
              </w:rPr>
              <w:t>水分</w:t>
            </w:r>
          </w:p>
        </w:tc>
        <w:tc>
          <w:tcPr>
            <w:tcW w:w="3947" w:type="dxa"/>
            <w:noWrap w:val="0"/>
            <w:vAlign w:val="center"/>
          </w:tcPr>
          <w:p>
            <w:pPr>
              <w:spacing w:line="360" w:lineRule="auto"/>
              <w:jc w:val="center"/>
              <w:rPr>
                <w:rFonts w:hint="eastAsia" w:ascii="宋体" w:hAnsi="宋体" w:eastAsia="宋体" w:cs="Times New Roman"/>
                <w:bCs/>
                <w:color w:val="000000"/>
                <w:sz w:val="21"/>
                <w:szCs w:val="21"/>
                <w:lang w:val="en-US" w:eastAsia="zh-CN"/>
              </w:rPr>
            </w:pPr>
            <w:r>
              <w:rPr>
                <w:rFonts w:hint="eastAsia" w:ascii="宋体" w:hAnsi="宋体" w:eastAsia="宋体" w:cs="Times New Roman"/>
                <w:bCs/>
                <w:color w:val="000000"/>
                <w:sz w:val="21"/>
                <w:szCs w:val="21"/>
              </w:rPr>
              <w:t>≤1</w:t>
            </w:r>
            <w:r>
              <w:rPr>
                <w:rFonts w:hint="eastAsia" w:ascii="宋体" w:hAnsi="宋体" w:eastAsia="宋体" w:cs="Times New Roman"/>
                <w:bCs/>
                <w:color w:val="000000"/>
                <w:sz w:val="21"/>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3088" w:type="dxa"/>
            <w:noWrap w:val="0"/>
            <w:vAlign w:val="center"/>
          </w:tcPr>
          <w:p>
            <w:pPr>
              <w:spacing w:line="360" w:lineRule="auto"/>
              <w:jc w:val="center"/>
              <w:rPr>
                <w:rFonts w:hint="default" w:ascii="宋体" w:hAnsi="宋体" w:eastAsia="宋体" w:cs="Tahoma"/>
                <w:bCs/>
                <w:color w:val="000000"/>
                <w:kern w:val="0"/>
                <w:sz w:val="21"/>
                <w:szCs w:val="21"/>
                <w:lang w:val="en-US" w:eastAsia="zh-CN"/>
              </w:rPr>
            </w:pPr>
            <w:r>
              <w:rPr>
                <w:rFonts w:hint="eastAsia" w:ascii="宋体" w:hAnsi="宋体" w:eastAsia="宋体" w:cs="Tahoma"/>
                <w:bCs/>
                <w:color w:val="000000"/>
                <w:kern w:val="0"/>
                <w:sz w:val="21"/>
                <w:szCs w:val="21"/>
                <w:lang w:val="en-US" w:eastAsia="zh-CN"/>
              </w:rPr>
              <w:t>大椒形</w:t>
            </w:r>
          </w:p>
        </w:tc>
        <w:tc>
          <w:tcPr>
            <w:tcW w:w="2685" w:type="dxa"/>
            <w:noWrap w:val="0"/>
            <w:vAlign w:val="center"/>
          </w:tcPr>
          <w:p>
            <w:pPr>
              <w:spacing w:line="360" w:lineRule="auto"/>
              <w:jc w:val="center"/>
              <w:rPr>
                <w:rFonts w:hint="eastAsia" w:ascii="宋体" w:hAnsi="宋体" w:eastAsia="宋体" w:cs="Tahoma"/>
                <w:bCs/>
                <w:color w:val="000000"/>
                <w:kern w:val="0"/>
                <w:sz w:val="21"/>
                <w:szCs w:val="21"/>
              </w:rPr>
            </w:pPr>
            <w:r>
              <w:rPr>
                <w:rFonts w:hint="eastAsia" w:ascii="宋体" w:hAnsi="宋体" w:eastAsia="宋体" w:cs="Tahoma"/>
                <w:bCs/>
                <w:color w:val="000000"/>
                <w:kern w:val="0"/>
                <w:sz w:val="21"/>
                <w:szCs w:val="21"/>
              </w:rPr>
              <w:t>水分</w:t>
            </w:r>
          </w:p>
        </w:tc>
        <w:tc>
          <w:tcPr>
            <w:tcW w:w="3947" w:type="dxa"/>
            <w:noWrap w:val="0"/>
            <w:vAlign w:val="center"/>
          </w:tcPr>
          <w:p>
            <w:pPr>
              <w:spacing w:line="360" w:lineRule="auto"/>
              <w:jc w:val="center"/>
              <w:rPr>
                <w:rFonts w:hint="eastAsia" w:ascii="宋体" w:hAnsi="宋体" w:eastAsia="宋体" w:cs="Times New Roman"/>
                <w:bCs/>
                <w:color w:val="000000"/>
                <w:sz w:val="21"/>
                <w:szCs w:val="21"/>
              </w:rPr>
            </w:pPr>
            <w:r>
              <w:rPr>
                <w:rFonts w:hint="eastAsia" w:ascii="宋体" w:hAnsi="宋体" w:eastAsia="宋体" w:cs="Times New Roman"/>
                <w:bCs/>
                <w:color w:val="000000"/>
                <w:sz w:val="21"/>
                <w:szCs w:val="21"/>
              </w:rPr>
              <w:t>≤18</w:t>
            </w:r>
          </w:p>
        </w:tc>
      </w:tr>
    </w:tbl>
    <w:p>
      <w:pPr>
        <w:pStyle w:val="2"/>
        <w:widowControl w:val="0"/>
        <w:numPr>
          <w:ilvl w:val="0"/>
          <w:numId w:val="0"/>
        </w:numPr>
        <w:jc w:val="both"/>
        <w:textAlignment w:val="baseline"/>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说明：a、小椒类指干辣椒椒长度小于10cm、宽度小于2cm以内;</w:t>
      </w:r>
    </w:p>
    <w:p>
      <w:pPr>
        <w:pStyle w:val="2"/>
        <w:widowControl w:val="0"/>
        <w:numPr>
          <w:ilvl w:val="0"/>
          <w:numId w:val="0"/>
        </w:numPr>
        <w:ind w:firstLine="640" w:firstLineChars="200"/>
        <w:jc w:val="both"/>
        <w:textAlignment w:val="baseline"/>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b、二荆条、线椒类指干辣椒长度在10cm以上、宽度在3cm以内；</w:t>
      </w:r>
    </w:p>
    <w:p>
      <w:pPr>
        <w:pStyle w:val="2"/>
        <w:widowControl w:val="0"/>
        <w:numPr>
          <w:ilvl w:val="0"/>
          <w:numId w:val="0"/>
        </w:numPr>
        <w:jc w:val="both"/>
        <w:textAlignment w:val="baseline"/>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c、大椒形泛指干辣椒宽度超过3cm以上。</w:t>
      </w:r>
    </w:p>
    <w:p>
      <w:pPr>
        <w:pStyle w:val="2"/>
        <w:numPr>
          <w:ilvl w:val="0"/>
          <w:numId w:val="0"/>
        </w:numPr>
        <w:ind w:firstLine="643" w:firstLineChars="200"/>
        <w:rPr>
          <w:rFonts w:hint="eastAsia" w:ascii="宋体" w:hAnsi="宋体" w:eastAsia="宋体" w:cs="宋体"/>
          <w:sz w:val="32"/>
          <w:szCs w:val="32"/>
          <w:lang w:val="en-US" w:eastAsia="zh-CN"/>
        </w:rPr>
      </w:pPr>
      <w:r>
        <w:rPr>
          <w:rFonts w:hint="eastAsia" w:ascii="宋体" w:hAnsi="宋体" w:eastAsia="宋体" w:cs="宋体"/>
          <w:b/>
          <w:bCs/>
          <w:sz w:val="32"/>
          <w:szCs w:val="32"/>
          <w:lang w:val="en-US" w:eastAsia="zh-CN"/>
        </w:rPr>
        <w:t>四、主要条款说明</w:t>
      </w:r>
    </w:p>
    <w:p>
      <w:pPr>
        <w:pStyle w:val="2"/>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1、标准的总体框架结构遵循了国家标准《标准化工作导则  第1部分：标准化文件的结构和起草规则》（GB/T 1.1-2020）等要求。</w:t>
      </w:r>
    </w:p>
    <w:p>
      <w:pPr>
        <w:pStyle w:val="2"/>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2、标准的内容构成参考了《辣椒（整的或粉状）》（GB/T 30382-2013/</w:t>
      </w:r>
      <w:r>
        <w:rPr>
          <w:rFonts w:hint="eastAsia" w:ascii="宋体" w:hAnsi="宋体" w:eastAsia="宋体" w:cs="宋体"/>
          <w:b/>
          <w:bCs/>
          <w:sz w:val="32"/>
          <w:szCs w:val="32"/>
          <w:lang w:val="en-US" w:eastAsia="zh-CN"/>
        </w:rPr>
        <w:t>ISO</w:t>
      </w:r>
      <w:r>
        <w:rPr>
          <w:rFonts w:hint="eastAsia" w:ascii="宋体" w:hAnsi="宋体" w:eastAsia="宋体" w:cs="宋体"/>
          <w:sz w:val="32"/>
          <w:szCs w:val="32"/>
          <w:lang w:val="en-US" w:eastAsia="zh-CN"/>
        </w:rPr>
        <w:t xml:space="preserve"> 972:1997）、《干红辣椒质量分级》（NY/T 3610-2020）等国家标准和行业标准。</w:t>
      </w:r>
    </w:p>
    <w:p>
      <w:pPr>
        <w:pStyle w:val="2"/>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3、卫生指标执行了GB 2761《食品安全国家标准  食品中真菌毒素限量》、GB 2762《食品安全国家标准  食品中污染物限量》、GB 2763《食品安全国家标准 食品中农药重大残留限量》。</w:t>
      </w:r>
    </w:p>
    <w:p>
      <w:pPr>
        <w:pStyle w:val="2"/>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4、试验方法和检验规则执行了GB 5009.3《食品安全国家标准  食品中水分的测定》、GB/T 12729.2《香辛料和调味品  取样方法》、NY/T 3610 《干红辣椒质量分级》、SN/T 0231《出口干制辣椒产品检验规程》等相关国家标准和行业标准。</w:t>
      </w:r>
    </w:p>
    <w:p>
      <w:pPr>
        <w:pStyle w:val="2"/>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5、标志和包装材料执行了GB/T 191《包装储运图示标志》、GB/T 6543《运输包装用单瓦楞纸箱和双瓦楞纸箱》、GB/T 8946《塑料编织袋通用技术要求》、GB/T 21302《包装用复合膜、袋通则》。</w:t>
      </w:r>
    </w:p>
    <w:p>
      <w:pPr>
        <w:pStyle w:val="2"/>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6、运输和贮存根据干红辣椒特征特性、食品卫生安全等要求作了具体规定与要求。</w:t>
      </w:r>
    </w:p>
    <w:p>
      <w:pPr>
        <w:pStyle w:val="2"/>
        <w:numPr>
          <w:ilvl w:val="0"/>
          <w:numId w:val="0"/>
        </w:numPr>
        <w:ind w:firstLine="643" w:firstLineChars="200"/>
        <w:rPr>
          <w:rFonts w:hint="eastAsia" w:ascii="宋体" w:hAnsi="宋体" w:eastAsia="宋体" w:cs="宋体"/>
          <w:sz w:val="32"/>
          <w:szCs w:val="32"/>
          <w:lang w:val="en-US" w:eastAsia="zh-CN"/>
        </w:rPr>
      </w:pPr>
      <w:r>
        <w:rPr>
          <w:rFonts w:hint="eastAsia" w:ascii="宋体" w:hAnsi="宋体" w:eastAsia="宋体" w:cs="宋体"/>
          <w:b/>
          <w:bCs/>
          <w:sz w:val="32"/>
          <w:szCs w:val="32"/>
          <w:lang w:val="en-US" w:eastAsia="zh-CN"/>
        </w:rPr>
        <w:t>五、重大意见分歧的处理依据和结果</w:t>
      </w:r>
    </w:p>
    <w:p>
      <w:pPr>
        <w:pStyle w:val="2"/>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本标准以国家现行法律法规、强制性国家标准的规定为准则，不存在任何冲突。</w:t>
      </w:r>
    </w:p>
    <w:p>
      <w:pPr>
        <w:pStyle w:val="2"/>
        <w:numPr>
          <w:ilvl w:val="0"/>
          <w:numId w:val="0"/>
        </w:numPr>
        <w:ind w:firstLine="643" w:firstLineChars="200"/>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六、采用国际标准或国外先进标准的，说明采标程度，以及国内外同类标准水平的对比情况</w:t>
      </w:r>
    </w:p>
    <w:p>
      <w:pPr>
        <w:pStyle w:val="2"/>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本标准未采用国际标准和国外先进标准。</w:t>
      </w:r>
    </w:p>
    <w:p>
      <w:pPr>
        <w:pStyle w:val="2"/>
        <w:numPr>
          <w:ilvl w:val="0"/>
          <w:numId w:val="0"/>
        </w:numPr>
        <w:rPr>
          <w:rFonts w:hint="eastAsia" w:ascii="宋体" w:hAnsi="宋体" w:eastAsia="宋体" w:cs="宋体"/>
          <w:sz w:val="32"/>
          <w:szCs w:val="32"/>
          <w:lang w:val="en-US" w:eastAsia="zh-CN"/>
        </w:rPr>
      </w:pPr>
    </w:p>
    <w:p>
      <w:pPr>
        <w:pStyle w:val="2"/>
        <w:numPr>
          <w:ilvl w:val="0"/>
          <w:numId w:val="0"/>
        </w:numPr>
        <w:rPr>
          <w:rFonts w:hint="eastAsia" w:ascii="宋体" w:hAnsi="宋体" w:eastAsia="宋体" w:cs="宋体"/>
          <w:sz w:val="32"/>
          <w:szCs w:val="32"/>
          <w:lang w:val="en-US" w:eastAsia="zh-CN"/>
        </w:rPr>
      </w:pPr>
    </w:p>
    <w:p>
      <w:pPr>
        <w:pStyle w:val="2"/>
        <w:numPr>
          <w:ilvl w:val="0"/>
          <w:numId w:val="0"/>
        </w:numPr>
        <w:rPr>
          <w:rFonts w:hint="eastAsia" w:ascii="方正仿宋_GBK" w:hAnsi="方正仿宋_GBK" w:eastAsia="方正仿宋_GBK" w:cs="方正仿宋_GBK"/>
          <w:sz w:val="32"/>
          <w:szCs w:val="32"/>
          <w:lang w:val="en-US" w:eastAsia="zh-CN"/>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58CC9D"/>
    <w:multiLevelType w:val="singleLevel"/>
    <w:tmpl w:val="DB58CC9D"/>
    <w:lvl w:ilvl="0" w:tentative="0">
      <w:start w:val="3"/>
      <w:numFmt w:val="chineseCounting"/>
      <w:suff w:val="nothing"/>
      <w:lvlText w:val="%1、"/>
      <w:lvlJc w:val="left"/>
      <w:pPr>
        <w:ind w:left="640" w:leftChars="0" w:firstLine="0" w:firstLineChars="0"/>
      </w:pPr>
      <w:rPr>
        <w:rFonts w:hint="eastAsia"/>
      </w:rPr>
    </w:lvl>
  </w:abstractNum>
  <w:abstractNum w:abstractNumId="1">
    <w:nsid w:val="1773FEBE"/>
    <w:multiLevelType w:val="singleLevel"/>
    <w:tmpl w:val="1773FEBE"/>
    <w:lvl w:ilvl="0" w:tentative="0">
      <w:start w:val="2"/>
      <w:numFmt w:val="chineseCounting"/>
      <w:suff w:val="nothing"/>
      <w:lvlText w:val="（%1）"/>
      <w:lvlJc w:val="left"/>
      <w:rPr>
        <w:rFonts w:hint="eastAsia"/>
      </w:rPr>
    </w:lvl>
  </w:abstractNum>
  <w:abstractNum w:abstractNumId="2">
    <w:nsid w:val="3B93636E"/>
    <w:multiLevelType w:val="singleLevel"/>
    <w:tmpl w:val="3B93636E"/>
    <w:lvl w:ilvl="0" w:tentative="0">
      <w:start w:val="2"/>
      <w:numFmt w:val="decimal"/>
      <w:suff w:val="nothing"/>
      <w:lvlText w:val="%1、"/>
      <w:lvlJc w:val="left"/>
    </w:lvl>
  </w:abstractNum>
  <w:abstractNum w:abstractNumId="3">
    <w:nsid w:val="6968FED6"/>
    <w:multiLevelType w:val="singleLevel"/>
    <w:tmpl w:val="6968FED6"/>
    <w:lvl w:ilvl="0" w:tentative="0">
      <w:start w:val="4"/>
      <w:numFmt w:val="decimal"/>
      <w:suff w:val="nothing"/>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yNjQ1MTZiYjdkMDM1N2MwNzhkYzc4NzkzMGJmNWIifQ=="/>
  </w:docVars>
  <w:rsids>
    <w:rsidRoot w:val="57DB75CB"/>
    <w:rsid w:val="00646DFC"/>
    <w:rsid w:val="00E179C5"/>
    <w:rsid w:val="04D223C9"/>
    <w:rsid w:val="04F205EB"/>
    <w:rsid w:val="0528706D"/>
    <w:rsid w:val="05F23A3F"/>
    <w:rsid w:val="0754675F"/>
    <w:rsid w:val="089B216C"/>
    <w:rsid w:val="0C232BA4"/>
    <w:rsid w:val="0C7E602C"/>
    <w:rsid w:val="11F1104F"/>
    <w:rsid w:val="121A6B15"/>
    <w:rsid w:val="127106F2"/>
    <w:rsid w:val="13926B75"/>
    <w:rsid w:val="15485429"/>
    <w:rsid w:val="179B0F10"/>
    <w:rsid w:val="1B1132ED"/>
    <w:rsid w:val="1BC03F17"/>
    <w:rsid w:val="1CB515F6"/>
    <w:rsid w:val="1D360BBC"/>
    <w:rsid w:val="1EE7038A"/>
    <w:rsid w:val="209D0D1F"/>
    <w:rsid w:val="251E79EC"/>
    <w:rsid w:val="29334FB4"/>
    <w:rsid w:val="2A8A2314"/>
    <w:rsid w:val="2B201398"/>
    <w:rsid w:val="2BEB5F90"/>
    <w:rsid w:val="30F5557B"/>
    <w:rsid w:val="310B5831"/>
    <w:rsid w:val="31F2E376"/>
    <w:rsid w:val="32B06690"/>
    <w:rsid w:val="33B73A4E"/>
    <w:rsid w:val="33D22636"/>
    <w:rsid w:val="3FEB7C20"/>
    <w:rsid w:val="475A736B"/>
    <w:rsid w:val="4AA85D85"/>
    <w:rsid w:val="4EA06AA2"/>
    <w:rsid w:val="51E97322"/>
    <w:rsid w:val="524C60C4"/>
    <w:rsid w:val="55F67FAE"/>
    <w:rsid w:val="57684EDC"/>
    <w:rsid w:val="57DB75CB"/>
    <w:rsid w:val="598558D1"/>
    <w:rsid w:val="5BD5905C"/>
    <w:rsid w:val="5C7F5081"/>
    <w:rsid w:val="61AD205D"/>
    <w:rsid w:val="68E63EB3"/>
    <w:rsid w:val="6938470E"/>
    <w:rsid w:val="69CE6E20"/>
    <w:rsid w:val="6FE202F3"/>
    <w:rsid w:val="72FE2C81"/>
    <w:rsid w:val="73F71FDC"/>
    <w:rsid w:val="76ECDA86"/>
    <w:rsid w:val="78A53442"/>
    <w:rsid w:val="7920756E"/>
    <w:rsid w:val="7AB72E92"/>
    <w:rsid w:val="7B85251A"/>
    <w:rsid w:val="7CD2097C"/>
    <w:rsid w:val="97B6430D"/>
    <w:rsid w:val="CF321037"/>
    <w:rsid w:val="F1D36682"/>
    <w:rsid w:val="F53ECEBF"/>
    <w:rsid w:val="FF7BE37D"/>
    <w:rsid w:val="FFFF25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customStyle="1" w:styleId="2">
    <w:name w:val="BodyText"/>
    <w:basedOn w:val="1"/>
    <w:qFormat/>
    <w:uiPriority w:val="0"/>
    <w:pPr>
      <w:jc w:val="both"/>
      <w:textAlignment w:val="baseline"/>
    </w:pPr>
  </w:style>
  <w:style w:type="paragraph" w:styleId="3">
    <w:name w:val="Body Text"/>
    <w:basedOn w:val="1"/>
    <w:next w:val="1"/>
    <w:qFormat/>
    <w:uiPriority w:val="0"/>
    <w:pPr>
      <w:spacing w:after="120" w:afterLines="0" w:afterAutospacing="0"/>
    </w:pPr>
  </w:style>
  <w:style w:type="paragraph" w:styleId="4">
    <w:name w:val="Body Text Indent"/>
    <w:basedOn w:val="1"/>
    <w:next w:val="1"/>
    <w:qFormat/>
    <w:uiPriority w:val="0"/>
    <w:pPr>
      <w:spacing w:after="120"/>
      <w:ind w:left="200" w:left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w:basedOn w:val="3"/>
    <w:next w:val="8"/>
    <w:qFormat/>
    <w:uiPriority w:val="99"/>
    <w:pPr>
      <w:ind w:firstLine="420" w:firstLineChars="100"/>
    </w:pPr>
    <w:rPr>
      <w:sz w:val="24"/>
    </w:rPr>
  </w:style>
  <w:style w:type="paragraph" w:styleId="8">
    <w:name w:val="Body Text First Indent 2"/>
    <w:basedOn w:val="4"/>
    <w:unhideWhenUsed/>
    <w:qFormat/>
    <w:uiPriority w:val="99"/>
    <w:pPr>
      <w:ind w:firstLine="420" w:firstLineChars="200"/>
    </w:pPr>
    <w:rPr>
      <w:sz w:val="24"/>
      <w:lang w:eastAsia="en-US" w:bidi="en-U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4676</Words>
  <Characters>5085</Characters>
  <Lines>0</Lines>
  <Paragraphs>0</Paragraphs>
  <TotalTime>194</TotalTime>
  <ScaleCrop>false</ScaleCrop>
  <LinksUpToDate>false</LinksUpToDate>
  <CharactersWithSpaces>5198</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2023-05-30T23:13:00Z</dcterms:created>
  <dc:creator>lizhiqiang</dc:creator>
  <cp:lastModifiedBy>Administrator</cp:lastModifiedBy>
  <cp:lastPrinted>2023-05-30T16:05:00Z</cp:lastPrinted>
  <dcterms:modified xsi:type="dcterms:W3CDTF">2024-10-30T09:38:11Z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5FA9417A487E4EF1945D67C03012680E_13</vt:lpwstr>
  </property>
</Properties>
</file>