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3FB9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6AB081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282F01D">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656FE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D7CDBA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56C61A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7620CF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018CFAC">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1508</w:t>
            </w:r>
            <w:r>
              <w:fldChar w:fldCharType="end"/>
            </w:r>
            <w:bookmarkEnd w:id="1"/>
          </w:p>
        </w:tc>
      </w:tr>
    </w:tbl>
    <w:p w14:paraId="5CC0AD53">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巴彦淖尔市</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14:paraId="507C841B">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1508/T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rFonts w:hint="eastAsia"/>
        </w:rPr>
        <w:t>XXXX</w:t>
      </w:r>
      <w:r>
        <w:fldChar w:fldCharType="end"/>
      </w:r>
      <w:bookmarkEnd w:id="5"/>
    </w:p>
    <w:p w14:paraId="4AAC1B77">
      <w:pPr>
        <w:pStyle w:val="196"/>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009933B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EB05507">
      <w:pPr>
        <w:pStyle w:val="50"/>
        <w:framePr w:w="9639" w:h="6976" w:hRule="exact" w:hSpace="0" w:vSpace="0" w:wrap="around" w:hAnchor="page" w:y="6408"/>
        <w:jc w:val="center"/>
        <w:rPr>
          <w:rFonts w:ascii="黑体" w:hAnsi="黑体" w:eastAsia="黑体"/>
          <w:b w:val="0"/>
          <w:bCs w:val="0"/>
          <w:w w:val="100"/>
        </w:rPr>
      </w:pPr>
    </w:p>
    <w:p w14:paraId="79186C64">
      <w:pPr>
        <w:pStyle w:val="19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lang w:eastAsia="zh-CN"/>
        </w:rPr>
        <w:t>干红辣椒初加工环节质量分级</w:t>
      </w:r>
      <w:r>
        <w:fldChar w:fldCharType="end"/>
      </w:r>
      <w:bookmarkEnd w:id="7"/>
    </w:p>
    <w:p w14:paraId="7218849A">
      <w:pPr>
        <w:framePr w:w="9639" w:h="6974" w:hRule="exact" w:wrap="around" w:vAnchor="page" w:hAnchor="page" w:x="1419" w:y="6408" w:anchorLock="1"/>
        <w:ind w:left="-1418"/>
      </w:pPr>
    </w:p>
    <w:p w14:paraId="39E39CC0">
      <w:pPr>
        <w:framePr w:w="9639" w:h="6974" w:hRule="exact" w:wrap="around" w:vAnchor="page" w:hAnchor="page" w:x="1419" w:y="6408" w:anchorLock="1"/>
        <w:spacing w:line="760" w:lineRule="exact"/>
        <w:ind w:left="-1418"/>
      </w:pPr>
    </w:p>
    <w:p w14:paraId="144D1C67">
      <w:pPr>
        <w:pStyle w:val="125"/>
        <w:framePr w:w="9639" w:h="6974" w:hRule="exact" w:wrap="around" w:vAnchor="page" w:hAnchor="page" w:x="1419" w:y="6408" w:anchorLock="1"/>
        <w:textAlignment w:val="bottom"/>
        <w:rPr>
          <w:rFonts w:eastAsia="黑体"/>
          <w:szCs w:val="28"/>
        </w:rPr>
      </w:pPr>
    </w:p>
    <w:p w14:paraId="3C36FAD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14:paraId="0F88BCA7">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2801B665">
      <w:pPr>
        <w:pStyle w:val="193"/>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14:paraId="029862B5">
      <w:pPr>
        <w:pStyle w:val="194"/>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14:paraId="23CCE467">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fldChar w:fldCharType="separate"/>
      </w:r>
      <w:r>
        <w:rPr>
          <w:rFonts w:hint="eastAsia" w:hAnsi="黑体"/>
          <w:w w:val="100"/>
          <w:sz w:val="28"/>
        </w:rPr>
        <w:t>巴彦淖尔市市场监督管理局</w:t>
      </w:r>
      <w:r>
        <w:rPr>
          <w:rFonts w:hAnsi="黑体"/>
          <w:w w:val="100"/>
          <w:sz w:val="28"/>
        </w:rPr>
        <w:fldChar w:fldCharType="end"/>
      </w:r>
      <w:bookmarkEnd w:id="15"/>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638F2F0">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B14C913">
      <w:pPr>
        <w:pStyle w:val="89"/>
        <w:spacing w:before="900" w:after="468"/>
      </w:pPr>
      <w:bookmarkStart w:id="16" w:name="_Toc151390295"/>
      <w:bookmarkStart w:id="17" w:name="BookMark2"/>
      <w:r>
        <w:rPr>
          <w:spacing w:val="320"/>
        </w:rPr>
        <w:t>前</w:t>
      </w:r>
      <w:r>
        <w:t>言</w:t>
      </w:r>
      <w:bookmarkEnd w:id="16"/>
    </w:p>
    <w:p w14:paraId="47B3BB01">
      <w:pPr>
        <w:pStyle w:val="56"/>
        <w:ind w:firstLine="420"/>
      </w:pPr>
      <w:r>
        <w:rPr>
          <w:rFonts w:hint="eastAsia"/>
        </w:rPr>
        <w:t>本文件按照GB/T 1.1—2020《标准化工作导则  第1部分：标准化文件的结构和起草规则》的规定起草。</w:t>
      </w:r>
    </w:p>
    <w:p w14:paraId="044B5685">
      <w:pPr>
        <w:pStyle w:val="56"/>
        <w:ind w:firstLine="420"/>
      </w:pPr>
      <w:r>
        <w:rPr>
          <w:rFonts w:hint="eastAsia" w:hAnsi="宋体"/>
        </w:rPr>
        <w:t>本文件由巴彦淖尔市现代农牧事业发展中心提出。</w:t>
      </w:r>
    </w:p>
    <w:p w14:paraId="339069AE">
      <w:pPr>
        <w:pStyle w:val="56"/>
        <w:ind w:firstLine="420"/>
      </w:pPr>
      <w:r>
        <w:rPr>
          <w:rFonts w:hint="eastAsia" w:hAnsi="宋体"/>
        </w:rPr>
        <w:t>本文件由巴彦淖尔市农牧局归口。</w:t>
      </w:r>
    </w:p>
    <w:p w14:paraId="25E38CF1">
      <w:pPr>
        <w:pStyle w:val="56"/>
        <w:ind w:firstLine="420"/>
      </w:pPr>
      <w:r>
        <w:rPr>
          <w:rFonts w:hint="eastAsia" w:hAnsi="宋体"/>
        </w:rPr>
        <w:t>本文件起草单位：巴彦淖尔市辣椒产业协会、巴彦淖尔市产品质量计量检测中心、巴彦淖尔市科技局科技成果转化中心。</w:t>
      </w:r>
    </w:p>
    <w:p w14:paraId="284900A6">
      <w:pPr>
        <w:pStyle w:val="56"/>
        <w:ind w:firstLine="420"/>
      </w:pPr>
      <w:r>
        <w:rPr>
          <w:rFonts w:hint="eastAsia" w:hAnsi="宋体"/>
        </w:rPr>
        <w:t>本文件主要起草人：</w:t>
      </w:r>
      <w:r>
        <w:t xml:space="preserve"> </w:t>
      </w:r>
      <w:r>
        <w:rPr>
          <w:rFonts w:hint="eastAsia"/>
        </w:rPr>
        <w:t>刘庆元、徐军、李景权、顾敏、李志强、温瑞强、刘劼、</w:t>
      </w:r>
      <w:r>
        <w:rPr>
          <w:rFonts w:hint="eastAsia"/>
          <w:lang w:eastAsia="zh-CN"/>
        </w:rPr>
        <w:t>安小敏</w:t>
      </w:r>
      <w:r>
        <w:rPr>
          <w:rFonts w:hint="eastAsia"/>
        </w:rPr>
        <w:t>、马博、闫爱武、王玥、刘彦华、王瑞军、南宏、</w:t>
      </w:r>
      <w:r>
        <w:rPr>
          <w:rFonts w:hint="eastAsia"/>
          <w:lang w:eastAsia="zh-CN"/>
        </w:rPr>
        <w:t>杨倩、李玲、</w:t>
      </w:r>
      <w:r>
        <w:rPr>
          <w:rFonts w:hint="eastAsia"/>
        </w:rPr>
        <w:t>高瑞芳、白晓峰</w:t>
      </w:r>
      <w:r>
        <w:rPr>
          <w:rFonts w:hint="eastAsia"/>
          <w:lang w:eastAsia="zh-CN"/>
        </w:rPr>
        <w:t>、刘洁、胡博、卫志刚、刘政</w:t>
      </w:r>
      <w:bookmarkStart w:id="46" w:name="_GoBack"/>
      <w:bookmarkEnd w:id="46"/>
      <w:r>
        <w:rPr>
          <w:rFonts w:hint="eastAsia"/>
        </w:rPr>
        <w:t>。</w:t>
      </w:r>
    </w:p>
    <w:p w14:paraId="0A4B8310">
      <w:pPr>
        <w:pStyle w:val="56"/>
        <w:ind w:firstLine="420"/>
      </w:pPr>
    </w:p>
    <w:p w14:paraId="23053C52">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17"/>
    <w:p w14:paraId="10926EA1">
      <w:pPr>
        <w:spacing w:line="20" w:lineRule="exact"/>
        <w:jc w:val="center"/>
        <w:rPr>
          <w:rFonts w:ascii="黑体" w:hAnsi="黑体" w:eastAsia="黑体"/>
          <w:sz w:val="32"/>
          <w:szCs w:val="32"/>
        </w:rPr>
      </w:pPr>
      <w:bookmarkStart w:id="18" w:name="BookMark4"/>
    </w:p>
    <w:p w14:paraId="68C8EC03">
      <w:pPr>
        <w:spacing w:line="20" w:lineRule="exact"/>
        <w:jc w:val="center"/>
        <w:rPr>
          <w:rFonts w:ascii="黑体" w:hAnsi="黑体" w:eastAsia="黑体"/>
          <w:sz w:val="32"/>
          <w:szCs w:val="32"/>
        </w:rPr>
      </w:pPr>
    </w:p>
    <w:sdt>
      <w:sdtPr>
        <w:tag w:val="NEW_STAND_NAME"/>
        <w:id w:val="595910757"/>
        <w:lock w:val="sdtLocked"/>
        <w:placeholder>
          <w:docPart w:val="638C24ADB9B44C488D120AF50CAF6107"/>
        </w:placeholder>
      </w:sdtPr>
      <w:sdtContent>
        <w:p w14:paraId="79B04F83">
          <w:pPr>
            <w:pStyle w:val="177"/>
            <w:spacing w:before="3" w:beforeLines="1" w:after="686" w:afterLines="220"/>
          </w:pPr>
          <w:bookmarkStart w:id="19" w:name="NEW_STAND_NAME"/>
          <w:r>
            <w:rPr>
              <w:rFonts w:hint="eastAsia"/>
              <w:lang w:eastAsia="zh-CN"/>
            </w:rPr>
            <w:t>干红辣椒初加工环节质量分级</w:t>
          </w:r>
        </w:p>
      </w:sdtContent>
    </w:sdt>
    <w:bookmarkEnd w:id="19"/>
    <w:p w14:paraId="3A77F6D7">
      <w:pPr>
        <w:pStyle w:val="104"/>
        <w:spacing w:before="312" w:after="312"/>
      </w:pPr>
      <w:bookmarkStart w:id="20" w:name="_Toc24884211"/>
      <w:bookmarkStart w:id="21" w:name="_Toc26648465"/>
      <w:bookmarkStart w:id="22" w:name="_Toc151390296"/>
      <w:bookmarkStart w:id="23" w:name="_Toc97191423"/>
      <w:bookmarkStart w:id="24" w:name="_Toc26718930"/>
      <w:bookmarkStart w:id="25" w:name="_Toc26986530"/>
      <w:bookmarkStart w:id="26" w:name="_Toc24884218"/>
      <w:bookmarkStart w:id="27" w:name="_Toc17233333"/>
      <w:bookmarkStart w:id="28" w:name="_Toc26986771"/>
      <w:bookmarkStart w:id="29" w:name="_Toc17233325"/>
      <w:r>
        <w:rPr>
          <w:rFonts w:hint="eastAsia"/>
        </w:rPr>
        <w:t>范围</w:t>
      </w:r>
      <w:bookmarkEnd w:id="20"/>
      <w:bookmarkEnd w:id="21"/>
      <w:bookmarkEnd w:id="22"/>
      <w:bookmarkEnd w:id="23"/>
      <w:bookmarkEnd w:id="24"/>
      <w:bookmarkEnd w:id="25"/>
      <w:bookmarkEnd w:id="26"/>
      <w:bookmarkEnd w:id="27"/>
      <w:bookmarkEnd w:id="28"/>
      <w:bookmarkEnd w:id="29"/>
    </w:p>
    <w:p w14:paraId="58371B72">
      <w:pPr>
        <w:pStyle w:val="56"/>
        <w:ind w:firstLine="420"/>
        <w:rPr>
          <w:rFonts w:hAnsi="宋体"/>
        </w:rPr>
      </w:pPr>
      <w:bookmarkStart w:id="30" w:name="_Toc26648466"/>
      <w:bookmarkStart w:id="31" w:name="_Toc17233334"/>
      <w:bookmarkStart w:id="32" w:name="_Toc24884212"/>
      <w:bookmarkStart w:id="33" w:name="_Toc17233326"/>
      <w:bookmarkStart w:id="34" w:name="_Toc24884219"/>
      <w:r>
        <w:rPr>
          <w:rFonts w:hint="eastAsia"/>
        </w:rPr>
        <w:t>本文件规定了干红辣椒</w:t>
      </w:r>
      <w:r>
        <w:rPr>
          <w:rFonts w:hint="eastAsia"/>
          <w:lang w:eastAsia="zh-CN"/>
        </w:rPr>
        <w:t>初加工环节</w:t>
      </w:r>
      <w:r>
        <w:rPr>
          <w:rFonts w:hint="eastAsia"/>
        </w:rPr>
        <w:t>质量分级的</w:t>
      </w:r>
      <w:r>
        <w:rPr>
          <w:rFonts w:hint="eastAsia" w:hAnsi="宋体"/>
        </w:rPr>
        <w:t>术语与定义、技术要求、试验方法、检验规则，标志、包装、运输和贮存等。</w:t>
      </w:r>
    </w:p>
    <w:p w14:paraId="1427D9B4">
      <w:pPr>
        <w:pStyle w:val="56"/>
        <w:ind w:firstLine="420"/>
        <w:rPr>
          <w:rFonts w:hAnsi="宋体"/>
        </w:rPr>
      </w:pPr>
      <w:r>
        <w:rPr>
          <w:rFonts w:hint="eastAsia" w:hAnsi="宋体"/>
        </w:rPr>
        <w:t>适用于巴彦淖尔河套地区干红辣椒</w:t>
      </w:r>
      <w:r>
        <w:rPr>
          <w:rFonts w:hint="eastAsia" w:hAnsi="宋体"/>
          <w:lang w:eastAsia="zh-CN"/>
        </w:rPr>
        <w:t>初加工环节</w:t>
      </w:r>
      <w:r>
        <w:rPr>
          <w:rFonts w:hint="eastAsia" w:hAnsi="宋体"/>
        </w:rPr>
        <w:t>在采收和销售等过程中质量的分级。</w:t>
      </w:r>
      <w:bookmarkStart w:id="35" w:name="_Toc26986531"/>
      <w:bookmarkStart w:id="36" w:name="_Toc26718931"/>
      <w:bookmarkStart w:id="37" w:name="_Toc97191424"/>
      <w:bookmarkStart w:id="38" w:name="_Toc26986772"/>
      <w:bookmarkStart w:id="39" w:name="_Toc151390297"/>
    </w:p>
    <w:p w14:paraId="4CF68788">
      <w:pPr>
        <w:pStyle w:val="104"/>
        <w:spacing w:before="312" w:after="312"/>
      </w:pPr>
      <w:r>
        <w:rPr>
          <w:rFonts w:hint="eastAsia"/>
        </w:rPr>
        <w:t>规范性引用文件</w:t>
      </w:r>
      <w:bookmarkEnd w:id="30"/>
      <w:bookmarkEnd w:id="31"/>
      <w:bookmarkEnd w:id="32"/>
      <w:bookmarkEnd w:id="33"/>
      <w:bookmarkEnd w:id="34"/>
      <w:bookmarkEnd w:id="35"/>
      <w:bookmarkEnd w:id="36"/>
      <w:bookmarkEnd w:id="37"/>
      <w:bookmarkEnd w:id="38"/>
      <w:bookmarkEnd w:id="39"/>
    </w:p>
    <w:sdt>
      <w:sdtPr>
        <w:rPr>
          <w:rFonts w:hint="eastAsia"/>
        </w:rPr>
        <w:id w:val="715848253"/>
        <w:placeholder>
          <w:docPart w:val="D0FC7EA92F6A4ABDB79881E8A63A8A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976A86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2CAD51">
      <w:pPr>
        <w:pStyle w:val="56"/>
        <w:ind w:firstLine="420"/>
        <w:rPr>
          <w:rFonts w:hAnsi="宋体"/>
        </w:rPr>
      </w:pPr>
      <w:r>
        <w:rPr>
          <w:rFonts w:hint="eastAsia" w:hAnsi="宋体"/>
        </w:rPr>
        <w:t>GB/T 191  包装储运图示标志</w:t>
      </w:r>
    </w:p>
    <w:p w14:paraId="4F0B3174">
      <w:pPr>
        <w:pStyle w:val="56"/>
        <w:ind w:firstLine="420"/>
        <w:rPr>
          <w:rFonts w:hAnsi="宋体"/>
        </w:rPr>
      </w:pPr>
      <w:r>
        <w:rPr>
          <w:rFonts w:hint="eastAsia" w:hAnsi="宋体"/>
        </w:rPr>
        <w:t>GB 2761  食品安全国家标准  食品中真菌毒素限量</w:t>
      </w:r>
    </w:p>
    <w:p w14:paraId="0CDFBE10">
      <w:pPr>
        <w:pStyle w:val="56"/>
        <w:ind w:firstLine="420"/>
        <w:rPr>
          <w:rFonts w:hAnsi="宋体"/>
        </w:rPr>
      </w:pPr>
      <w:r>
        <w:rPr>
          <w:rFonts w:hint="eastAsia" w:hAnsi="宋体"/>
        </w:rPr>
        <w:t>GB 2762  食品安全国家标准  食品中污染物限量</w:t>
      </w:r>
    </w:p>
    <w:p w14:paraId="29C2375C">
      <w:pPr>
        <w:pStyle w:val="56"/>
        <w:ind w:firstLine="420"/>
        <w:rPr>
          <w:rFonts w:hAnsi="宋体"/>
        </w:rPr>
      </w:pPr>
      <w:r>
        <w:rPr>
          <w:rFonts w:hint="eastAsia" w:hAnsi="宋体"/>
        </w:rPr>
        <w:t>GB 2763  食品安全国家标准  食品中农药重大残留限量</w:t>
      </w:r>
    </w:p>
    <w:p w14:paraId="50E33969">
      <w:pPr>
        <w:pStyle w:val="56"/>
        <w:ind w:firstLine="420"/>
        <w:rPr>
          <w:rFonts w:hAnsi="宋体"/>
        </w:rPr>
      </w:pPr>
      <w:r>
        <w:rPr>
          <w:rFonts w:hint="eastAsia" w:hAnsi="宋体"/>
        </w:rPr>
        <w:t>GB 5009.3  食品安全国家标准  食品中水分的测定</w:t>
      </w:r>
    </w:p>
    <w:p w14:paraId="0AC07482">
      <w:pPr>
        <w:pStyle w:val="56"/>
        <w:ind w:firstLine="420"/>
        <w:rPr>
          <w:rFonts w:hAnsi="宋体"/>
        </w:rPr>
      </w:pPr>
      <w:r>
        <w:rPr>
          <w:rFonts w:hint="eastAsia" w:hAnsi="宋体"/>
        </w:rPr>
        <w:t>GB/T 6543  运输包装用单瓦楞纸箱和双瓦楞纸箱</w:t>
      </w:r>
    </w:p>
    <w:p w14:paraId="663D81B0">
      <w:pPr>
        <w:pStyle w:val="56"/>
        <w:ind w:firstLine="420"/>
        <w:rPr>
          <w:rFonts w:hAnsi="宋体"/>
        </w:rPr>
      </w:pPr>
      <w:r>
        <w:rPr>
          <w:rFonts w:hint="eastAsia" w:hAnsi="宋体"/>
        </w:rPr>
        <w:t>GB/T 8946  塑料编织袋通用技术要求</w:t>
      </w:r>
    </w:p>
    <w:p w14:paraId="4980FED1">
      <w:pPr>
        <w:pStyle w:val="56"/>
        <w:ind w:firstLine="420"/>
        <w:rPr>
          <w:rFonts w:hAnsi="宋体"/>
        </w:rPr>
      </w:pPr>
      <w:r>
        <w:rPr>
          <w:rFonts w:hint="eastAsia" w:hAnsi="宋体"/>
        </w:rPr>
        <w:t>GB/T 12729.2  香辛料和调味品  取样方法</w:t>
      </w:r>
    </w:p>
    <w:p w14:paraId="43ACEA0C">
      <w:pPr>
        <w:pStyle w:val="56"/>
        <w:ind w:firstLine="420"/>
        <w:rPr>
          <w:rFonts w:hAnsi="宋体"/>
        </w:rPr>
      </w:pPr>
      <w:r>
        <w:rPr>
          <w:rFonts w:hint="eastAsia" w:hAnsi="宋体"/>
        </w:rPr>
        <w:t>GB/T 21302  包装用复合膜、袋通则</w:t>
      </w:r>
    </w:p>
    <w:p w14:paraId="5E4301E1">
      <w:pPr>
        <w:pStyle w:val="56"/>
        <w:ind w:firstLine="420"/>
        <w:rPr>
          <w:rFonts w:hAnsi="宋体"/>
        </w:rPr>
      </w:pPr>
      <w:r>
        <w:rPr>
          <w:rFonts w:hint="eastAsia" w:hAnsi="宋体"/>
        </w:rPr>
        <w:t>GB/T 30382  辣椒（整的或粉状）</w:t>
      </w:r>
    </w:p>
    <w:p w14:paraId="4490CA47">
      <w:pPr>
        <w:pStyle w:val="56"/>
        <w:ind w:firstLine="420"/>
        <w:rPr>
          <w:rFonts w:hAnsi="宋体"/>
        </w:rPr>
      </w:pPr>
      <w:r>
        <w:rPr>
          <w:rFonts w:hint="eastAsia" w:hAnsi="宋体"/>
        </w:rPr>
        <w:t>NY/T 3610  干红辣椒质量分级</w:t>
      </w:r>
    </w:p>
    <w:p w14:paraId="4AD9E3D6">
      <w:pPr>
        <w:pStyle w:val="56"/>
        <w:ind w:firstLine="420"/>
        <w:rPr>
          <w:rFonts w:hAnsi="宋体"/>
        </w:rPr>
      </w:pPr>
      <w:r>
        <w:rPr>
          <w:rFonts w:hint="eastAsia" w:hAnsi="宋体"/>
        </w:rPr>
        <w:t>SN/T 0231  出口干制辣椒产品检验规程</w:t>
      </w:r>
    </w:p>
    <w:p w14:paraId="0DE7C1CB">
      <w:pPr>
        <w:pStyle w:val="104"/>
        <w:spacing w:before="312" w:after="312"/>
      </w:pPr>
      <w:bookmarkStart w:id="40" w:name="_Toc151390298"/>
      <w:bookmarkStart w:id="41" w:name="_Toc97191425"/>
      <w:r>
        <w:rPr>
          <w:rFonts w:hint="eastAsia"/>
          <w:szCs w:val="21"/>
        </w:rPr>
        <w:t>术语和定义</w:t>
      </w:r>
      <w:bookmarkEnd w:id="40"/>
      <w:bookmarkEnd w:id="41"/>
    </w:p>
    <w:sdt>
      <w:sdtPr>
        <w:rPr>
          <w:rFonts w:hint="eastAsia"/>
        </w:rPr>
        <w:id w:val="-1909835108"/>
        <w:placeholder>
          <w:docPart w:val="5EE90796A43D4ECDBE58A03E85AFDC4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43F28F64">
          <w:pPr>
            <w:pStyle w:val="56"/>
            <w:ind w:firstLine="420"/>
          </w:pPr>
          <w:bookmarkStart w:id="42" w:name="_Toc26986532"/>
          <w:bookmarkEnd w:id="42"/>
          <w:r>
            <w:rPr>
              <w:rFonts w:hint="eastAsia"/>
            </w:rPr>
            <w:t>GB/T 30382、NY/T 3610界定的术语和定义适用于本文件。</w:t>
          </w:r>
        </w:p>
      </w:sdtContent>
    </w:sdt>
    <w:p w14:paraId="4DBFB010">
      <w:pPr>
        <w:pStyle w:val="104"/>
        <w:spacing w:before="312" w:after="312"/>
      </w:pPr>
      <w:bookmarkStart w:id="43" w:name="_Toc151390299"/>
      <w:r>
        <w:rPr>
          <w:rFonts w:hint="eastAsia"/>
        </w:rPr>
        <w:t>技术要求</w:t>
      </w:r>
      <w:bookmarkEnd w:id="43"/>
    </w:p>
    <w:p w14:paraId="6E4A22B7">
      <w:pPr>
        <w:pStyle w:val="105"/>
        <w:numPr>
          <w:ilvl w:val="0"/>
          <w:numId w:val="0"/>
        </w:numPr>
        <w:spacing w:before="156" w:after="156"/>
      </w:pPr>
      <w:r>
        <w:rPr>
          <w:rFonts w:hint="eastAsia"/>
        </w:rPr>
        <w:t>4.1  基本要求</w:t>
      </w:r>
    </w:p>
    <w:p w14:paraId="170515B0">
      <w:pPr>
        <w:pStyle w:val="165"/>
      </w:pPr>
      <w:r>
        <w:rPr>
          <w:rFonts w:hint="eastAsia"/>
        </w:rPr>
        <w:t>大小基本均匀，具有该品种固有的形状、色泽和气味，无异味，表皮洁净。</w:t>
      </w:r>
    </w:p>
    <w:p w14:paraId="51BE4CB0">
      <w:pPr>
        <w:pStyle w:val="165"/>
      </w:pPr>
      <w:r>
        <w:rPr>
          <w:rFonts w:hint="eastAsia"/>
        </w:rPr>
        <w:t>无腐烂变质，无正常视力可见外来杂质。</w:t>
      </w:r>
    </w:p>
    <w:p w14:paraId="2BCD88C2">
      <w:pPr>
        <w:pStyle w:val="165"/>
      </w:pPr>
      <w:r>
        <w:rPr>
          <w:rFonts w:hint="eastAsia"/>
        </w:rPr>
        <w:t>小椒类，二荆条、线椒类水分含量≤18%，大椒形水分含量≤20%，</w:t>
      </w:r>
    </w:p>
    <w:p w14:paraId="57510C45">
      <w:pPr>
        <w:pStyle w:val="105"/>
        <w:numPr>
          <w:ilvl w:val="1"/>
          <w:numId w:val="32"/>
        </w:numPr>
        <w:spacing w:before="156" w:after="156"/>
        <w:rPr>
          <w:szCs w:val="21"/>
        </w:rPr>
      </w:pPr>
      <w:r>
        <w:rPr>
          <w:rFonts w:hint="eastAsia"/>
        </w:rPr>
        <w:t xml:space="preserve">  等级划分</w:t>
      </w:r>
    </w:p>
    <w:p w14:paraId="559C35BC">
      <w:pPr>
        <w:pStyle w:val="56"/>
        <w:ind w:firstLine="420"/>
        <w:rPr>
          <w:rFonts w:hAnsi="宋体"/>
        </w:rPr>
      </w:pPr>
      <w:r>
        <w:rPr>
          <w:rFonts w:hint="eastAsia" w:hAnsi="宋体"/>
        </w:rPr>
        <w:t>干红辣椒质量分为一级、二级、三级共三个等级。</w:t>
      </w:r>
    </w:p>
    <w:p w14:paraId="7B67525D">
      <w:pPr>
        <w:pStyle w:val="105"/>
        <w:numPr>
          <w:ilvl w:val="1"/>
          <w:numId w:val="32"/>
        </w:numPr>
        <w:spacing w:before="156" w:after="156"/>
      </w:pPr>
      <w:r>
        <w:rPr>
          <w:rFonts w:hint="eastAsia"/>
        </w:rPr>
        <w:t xml:space="preserve"> </w:t>
      </w:r>
      <w:r>
        <w:rPr>
          <w:rFonts w:hint="eastAsia"/>
          <w:lang w:val="en-US" w:eastAsia="zh-CN"/>
        </w:rPr>
        <w:t xml:space="preserve"> </w:t>
      </w:r>
      <w:r>
        <w:rPr>
          <w:rFonts w:hint="eastAsia"/>
        </w:rPr>
        <w:t>质量要求</w:t>
      </w:r>
    </w:p>
    <w:p w14:paraId="47004AF7">
      <w:pPr>
        <w:pStyle w:val="56"/>
        <w:ind w:firstLine="420"/>
      </w:pPr>
      <w:r>
        <w:rPr>
          <w:rFonts w:hint="eastAsia"/>
        </w:rPr>
        <w:t>各等级质量要求见表1。</w:t>
      </w:r>
    </w:p>
    <w:p w14:paraId="629FB6B5">
      <w:pPr>
        <w:pStyle w:val="112"/>
        <w:spacing w:before="156" w:after="156"/>
      </w:pPr>
      <w:r>
        <w:rPr>
          <w:rFonts w:hint="eastAsia"/>
        </w:rPr>
        <w:t>质量等级要求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6"/>
        <w:gridCol w:w="610"/>
        <w:gridCol w:w="1167"/>
        <w:gridCol w:w="2334"/>
        <w:gridCol w:w="2333"/>
        <w:gridCol w:w="2334"/>
      </w:tblGrid>
      <w:tr w14:paraId="4349FC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3" w:type="dxa"/>
            <w:gridSpan w:val="3"/>
            <w:vMerge w:val="restart"/>
            <w:tcBorders>
              <w:top w:val="single" w:color="auto" w:sz="8" w:space="0"/>
            </w:tcBorders>
            <w:shd w:val="clear" w:color="auto" w:fill="auto"/>
            <w:vAlign w:val="center"/>
          </w:tcPr>
          <w:p w14:paraId="4E2A2695">
            <w:pPr>
              <w:pStyle w:val="178"/>
            </w:pPr>
            <w:r>
              <w:rPr>
                <w:rFonts w:hint="eastAsia"/>
              </w:rPr>
              <w:t>项目</w:t>
            </w:r>
          </w:p>
        </w:tc>
        <w:tc>
          <w:tcPr>
            <w:tcW w:w="7001" w:type="dxa"/>
            <w:gridSpan w:val="3"/>
            <w:tcBorders>
              <w:top w:val="single" w:color="auto" w:sz="8" w:space="0"/>
              <w:bottom w:val="single" w:color="auto" w:sz="8" w:space="0"/>
            </w:tcBorders>
            <w:shd w:val="clear" w:color="auto" w:fill="auto"/>
            <w:vAlign w:val="center"/>
          </w:tcPr>
          <w:p w14:paraId="167A408A">
            <w:pPr>
              <w:pStyle w:val="178"/>
            </w:pPr>
            <w:r>
              <w:rPr>
                <w:rFonts w:hint="eastAsia"/>
              </w:rPr>
              <w:t>等级</w:t>
            </w:r>
          </w:p>
        </w:tc>
      </w:tr>
      <w:tr w14:paraId="2594F0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gridSpan w:val="3"/>
            <w:vMerge w:val="continue"/>
            <w:shd w:val="clear" w:color="auto" w:fill="auto"/>
            <w:vAlign w:val="center"/>
          </w:tcPr>
          <w:p w14:paraId="0B14A9D1">
            <w:pPr>
              <w:pStyle w:val="178"/>
            </w:pPr>
          </w:p>
        </w:tc>
        <w:tc>
          <w:tcPr>
            <w:tcW w:w="2334" w:type="dxa"/>
            <w:tcBorders>
              <w:top w:val="single" w:color="auto" w:sz="8" w:space="0"/>
            </w:tcBorders>
            <w:shd w:val="clear" w:color="auto" w:fill="auto"/>
            <w:vAlign w:val="center"/>
          </w:tcPr>
          <w:p w14:paraId="173F3CAF">
            <w:pPr>
              <w:pStyle w:val="178"/>
            </w:pPr>
            <w:r>
              <w:rPr>
                <w:rFonts w:hint="eastAsia"/>
              </w:rPr>
              <w:t>一级</w:t>
            </w:r>
          </w:p>
        </w:tc>
        <w:tc>
          <w:tcPr>
            <w:tcW w:w="2333" w:type="dxa"/>
            <w:tcBorders>
              <w:top w:val="single" w:color="auto" w:sz="8" w:space="0"/>
            </w:tcBorders>
            <w:shd w:val="clear" w:color="auto" w:fill="auto"/>
            <w:vAlign w:val="center"/>
          </w:tcPr>
          <w:p w14:paraId="35DFCD42">
            <w:pPr>
              <w:pStyle w:val="178"/>
            </w:pPr>
            <w:r>
              <w:rPr>
                <w:rFonts w:hint="eastAsia"/>
              </w:rPr>
              <w:t>二级</w:t>
            </w:r>
          </w:p>
        </w:tc>
        <w:tc>
          <w:tcPr>
            <w:tcW w:w="2334" w:type="dxa"/>
            <w:tcBorders>
              <w:top w:val="single" w:color="auto" w:sz="8" w:space="0"/>
            </w:tcBorders>
            <w:shd w:val="clear" w:color="auto" w:fill="auto"/>
            <w:vAlign w:val="center"/>
          </w:tcPr>
          <w:p w14:paraId="630457AD">
            <w:pPr>
              <w:pStyle w:val="178"/>
            </w:pPr>
            <w:r>
              <w:rPr>
                <w:rFonts w:hint="eastAsia"/>
              </w:rPr>
              <w:t>三级</w:t>
            </w:r>
          </w:p>
        </w:tc>
      </w:tr>
      <w:tr w14:paraId="7BB1B5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gridSpan w:val="2"/>
            <w:vMerge w:val="restart"/>
            <w:shd w:val="clear" w:color="auto" w:fill="auto"/>
            <w:vAlign w:val="center"/>
          </w:tcPr>
          <w:p w14:paraId="1D89C650">
            <w:pPr>
              <w:pStyle w:val="178"/>
            </w:pPr>
            <w:r>
              <w:rPr>
                <w:rFonts w:hint="eastAsia"/>
              </w:rPr>
              <w:t>感官</w:t>
            </w:r>
          </w:p>
        </w:tc>
        <w:tc>
          <w:tcPr>
            <w:tcW w:w="1167" w:type="dxa"/>
            <w:shd w:val="clear" w:color="auto" w:fill="auto"/>
            <w:vAlign w:val="center"/>
          </w:tcPr>
          <w:p w14:paraId="38F8A7D1">
            <w:pPr>
              <w:pStyle w:val="178"/>
            </w:pPr>
            <w:r>
              <w:rPr>
                <w:rFonts w:hint="eastAsia"/>
              </w:rPr>
              <w:t>色泽</w:t>
            </w:r>
          </w:p>
        </w:tc>
        <w:tc>
          <w:tcPr>
            <w:tcW w:w="2334" w:type="dxa"/>
            <w:shd w:val="clear" w:color="auto" w:fill="auto"/>
            <w:vAlign w:val="center"/>
          </w:tcPr>
          <w:p w14:paraId="286CCB45">
            <w:pPr>
              <w:pStyle w:val="178"/>
            </w:pPr>
            <w:r>
              <w:rPr>
                <w:rFonts w:hint="eastAsia"/>
              </w:rPr>
              <w:t>鲜红或紫红色，果面色泽一致，有光泽</w:t>
            </w:r>
          </w:p>
        </w:tc>
        <w:tc>
          <w:tcPr>
            <w:tcW w:w="2333" w:type="dxa"/>
            <w:shd w:val="clear" w:color="auto" w:fill="auto"/>
            <w:vAlign w:val="center"/>
          </w:tcPr>
          <w:p w14:paraId="189D73C7">
            <w:pPr>
              <w:pStyle w:val="178"/>
            </w:pPr>
            <w:r>
              <w:rPr>
                <w:rFonts w:hint="eastAsia"/>
              </w:rPr>
              <w:t>鲜红或紫红色，果面色泽一致，有光泽</w:t>
            </w:r>
          </w:p>
        </w:tc>
        <w:tc>
          <w:tcPr>
            <w:tcW w:w="2334" w:type="dxa"/>
            <w:shd w:val="clear" w:color="auto" w:fill="auto"/>
            <w:vAlign w:val="center"/>
          </w:tcPr>
          <w:p w14:paraId="1783506E">
            <w:pPr>
              <w:pStyle w:val="178"/>
            </w:pPr>
            <w:r>
              <w:rPr>
                <w:rFonts w:hint="eastAsia"/>
              </w:rPr>
              <w:t>鲜红或紫红色，果面色泽较一致，光泽暗淡</w:t>
            </w:r>
          </w:p>
        </w:tc>
      </w:tr>
      <w:tr w14:paraId="1D65C1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gridSpan w:val="2"/>
            <w:vMerge w:val="continue"/>
            <w:shd w:val="clear" w:color="auto" w:fill="auto"/>
            <w:vAlign w:val="center"/>
          </w:tcPr>
          <w:p w14:paraId="0FCCA760">
            <w:pPr>
              <w:pStyle w:val="178"/>
            </w:pPr>
          </w:p>
        </w:tc>
        <w:tc>
          <w:tcPr>
            <w:tcW w:w="1167" w:type="dxa"/>
            <w:shd w:val="clear" w:color="auto" w:fill="auto"/>
            <w:vAlign w:val="center"/>
          </w:tcPr>
          <w:p w14:paraId="4E13A423">
            <w:pPr>
              <w:pStyle w:val="178"/>
            </w:pPr>
            <w:r>
              <w:rPr>
                <w:rFonts w:hint="eastAsia"/>
              </w:rPr>
              <w:t>气味</w:t>
            </w:r>
          </w:p>
        </w:tc>
        <w:tc>
          <w:tcPr>
            <w:tcW w:w="2334" w:type="dxa"/>
            <w:shd w:val="clear" w:color="auto" w:fill="auto"/>
            <w:vAlign w:val="center"/>
          </w:tcPr>
          <w:p w14:paraId="32EB981D">
            <w:pPr>
              <w:pStyle w:val="178"/>
            </w:pPr>
            <w:r>
              <w:rPr>
                <w:rFonts w:hint="eastAsia"/>
              </w:rPr>
              <w:t>香辣味浓郁</w:t>
            </w:r>
          </w:p>
        </w:tc>
        <w:tc>
          <w:tcPr>
            <w:tcW w:w="2333" w:type="dxa"/>
            <w:shd w:val="clear" w:color="auto" w:fill="auto"/>
            <w:vAlign w:val="center"/>
          </w:tcPr>
          <w:p w14:paraId="286D86C6">
            <w:pPr>
              <w:pStyle w:val="178"/>
            </w:pPr>
            <w:r>
              <w:rPr>
                <w:rFonts w:hint="eastAsia"/>
              </w:rPr>
              <w:t>香辣味一般</w:t>
            </w:r>
          </w:p>
        </w:tc>
        <w:tc>
          <w:tcPr>
            <w:tcW w:w="2334" w:type="dxa"/>
            <w:shd w:val="clear" w:color="auto" w:fill="auto"/>
            <w:vAlign w:val="center"/>
          </w:tcPr>
          <w:p w14:paraId="01EB927C">
            <w:pPr>
              <w:pStyle w:val="178"/>
            </w:pPr>
            <w:r>
              <w:rPr>
                <w:rFonts w:hint="eastAsia"/>
              </w:rPr>
              <w:t>略带香辣味</w:t>
            </w:r>
          </w:p>
        </w:tc>
      </w:tr>
      <w:tr w14:paraId="540E93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gridSpan w:val="2"/>
            <w:vMerge w:val="continue"/>
            <w:shd w:val="clear" w:color="auto" w:fill="auto"/>
            <w:vAlign w:val="center"/>
          </w:tcPr>
          <w:p w14:paraId="6EA010A1">
            <w:pPr>
              <w:pStyle w:val="178"/>
            </w:pPr>
          </w:p>
        </w:tc>
        <w:tc>
          <w:tcPr>
            <w:tcW w:w="1167" w:type="dxa"/>
            <w:shd w:val="clear" w:color="auto" w:fill="auto"/>
            <w:vAlign w:val="center"/>
          </w:tcPr>
          <w:p w14:paraId="3E6A6F0A">
            <w:pPr>
              <w:pStyle w:val="178"/>
            </w:pPr>
            <w:r>
              <w:rPr>
                <w:rFonts w:hint="eastAsia"/>
              </w:rPr>
              <w:t>整齐度</w:t>
            </w:r>
          </w:p>
        </w:tc>
        <w:tc>
          <w:tcPr>
            <w:tcW w:w="2334" w:type="dxa"/>
            <w:shd w:val="clear" w:color="auto" w:fill="auto"/>
            <w:vAlign w:val="center"/>
          </w:tcPr>
          <w:p w14:paraId="7400EF1F">
            <w:pPr>
              <w:pStyle w:val="178"/>
            </w:pPr>
            <w:r>
              <w:rPr>
                <w:rFonts w:hint="eastAsia"/>
              </w:rPr>
              <w:t>非常整齐</w:t>
            </w:r>
          </w:p>
        </w:tc>
        <w:tc>
          <w:tcPr>
            <w:tcW w:w="2333" w:type="dxa"/>
            <w:shd w:val="clear" w:color="auto" w:fill="auto"/>
            <w:vAlign w:val="center"/>
          </w:tcPr>
          <w:p w14:paraId="505B8772">
            <w:pPr>
              <w:pStyle w:val="178"/>
            </w:pPr>
            <w:r>
              <w:rPr>
                <w:rFonts w:hint="eastAsia"/>
              </w:rPr>
              <w:t>比较整齐</w:t>
            </w:r>
          </w:p>
        </w:tc>
        <w:tc>
          <w:tcPr>
            <w:tcW w:w="2334" w:type="dxa"/>
            <w:shd w:val="clear" w:color="auto" w:fill="auto"/>
            <w:vAlign w:val="center"/>
          </w:tcPr>
          <w:p w14:paraId="10304A0B">
            <w:pPr>
              <w:pStyle w:val="178"/>
            </w:pPr>
            <w:r>
              <w:rPr>
                <w:rFonts w:hint="eastAsia"/>
              </w:rPr>
              <w:t>整齐</w:t>
            </w:r>
          </w:p>
        </w:tc>
      </w:tr>
      <w:tr w14:paraId="799868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gridSpan w:val="2"/>
            <w:vMerge w:val="continue"/>
            <w:shd w:val="clear" w:color="auto" w:fill="auto"/>
            <w:vAlign w:val="center"/>
          </w:tcPr>
          <w:p w14:paraId="22EDFC96">
            <w:pPr>
              <w:pStyle w:val="178"/>
            </w:pPr>
          </w:p>
        </w:tc>
        <w:tc>
          <w:tcPr>
            <w:tcW w:w="1167" w:type="dxa"/>
            <w:shd w:val="clear" w:color="auto" w:fill="auto"/>
            <w:vAlign w:val="center"/>
          </w:tcPr>
          <w:p w14:paraId="0FD0E4E5">
            <w:pPr>
              <w:pStyle w:val="178"/>
            </w:pPr>
            <w:r>
              <w:rPr>
                <w:rFonts w:hint="eastAsia"/>
              </w:rPr>
              <w:t>霉变椒</w:t>
            </w:r>
          </w:p>
        </w:tc>
        <w:tc>
          <w:tcPr>
            <w:tcW w:w="2334" w:type="dxa"/>
            <w:shd w:val="clear" w:color="auto" w:fill="auto"/>
            <w:vAlign w:val="center"/>
          </w:tcPr>
          <w:p w14:paraId="045B37D4">
            <w:pPr>
              <w:pStyle w:val="178"/>
            </w:pPr>
            <w:r>
              <w:rPr>
                <w:rFonts w:hint="eastAsia"/>
              </w:rPr>
              <w:t>无</w:t>
            </w:r>
          </w:p>
        </w:tc>
        <w:tc>
          <w:tcPr>
            <w:tcW w:w="2333" w:type="dxa"/>
            <w:shd w:val="clear" w:color="auto" w:fill="auto"/>
            <w:vAlign w:val="center"/>
          </w:tcPr>
          <w:p w14:paraId="430DAA7A">
            <w:pPr>
              <w:pStyle w:val="178"/>
            </w:pPr>
            <w:r>
              <w:rPr>
                <w:rFonts w:hint="eastAsia"/>
              </w:rPr>
              <w:t>无</w:t>
            </w:r>
          </w:p>
        </w:tc>
        <w:tc>
          <w:tcPr>
            <w:tcW w:w="2334" w:type="dxa"/>
            <w:shd w:val="clear" w:color="auto" w:fill="auto"/>
            <w:vAlign w:val="center"/>
          </w:tcPr>
          <w:p w14:paraId="44757745">
            <w:pPr>
              <w:pStyle w:val="178"/>
            </w:pPr>
            <w:r>
              <w:rPr>
                <w:rFonts w:hint="eastAsia"/>
              </w:rPr>
              <w:t>无</w:t>
            </w:r>
          </w:p>
        </w:tc>
      </w:tr>
      <w:tr w14:paraId="7C52D1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gridSpan w:val="3"/>
            <w:shd w:val="clear" w:color="auto" w:fill="auto"/>
            <w:vAlign w:val="center"/>
          </w:tcPr>
          <w:p w14:paraId="6BB856B4">
            <w:pPr>
              <w:pStyle w:val="178"/>
            </w:pPr>
            <w:r>
              <w:rPr>
                <w:rFonts w:hint="eastAsia"/>
              </w:rPr>
              <w:t>不完善椒总量</w:t>
            </w:r>
          </w:p>
        </w:tc>
        <w:tc>
          <w:tcPr>
            <w:tcW w:w="2334" w:type="dxa"/>
            <w:shd w:val="clear" w:color="auto" w:fill="auto"/>
            <w:vAlign w:val="center"/>
          </w:tcPr>
          <w:p w14:paraId="61EBC574">
            <w:pPr>
              <w:pStyle w:val="178"/>
            </w:pPr>
            <w:r>
              <w:rPr>
                <w:rFonts w:hint="eastAsia"/>
              </w:rPr>
              <w:t>≤5.5%</w:t>
            </w:r>
          </w:p>
        </w:tc>
        <w:tc>
          <w:tcPr>
            <w:tcW w:w="2333" w:type="dxa"/>
            <w:shd w:val="clear" w:color="auto" w:fill="auto"/>
            <w:vAlign w:val="center"/>
          </w:tcPr>
          <w:p w14:paraId="38D6ABB8">
            <w:pPr>
              <w:pStyle w:val="178"/>
            </w:pPr>
            <w:r>
              <w:rPr>
                <w:rFonts w:hint="eastAsia"/>
              </w:rPr>
              <w:t>≤10%</w:t>
            </w:r>
          </w:p>
        </w:tc>
        <w:tc>
          <w:tcPr>
            <w:tcW w:w="2334" w:type="dxa"/>
            <w:shd w:val="clear" w:color="auto" w:fill="auto"/>
            <w:vAlign w:val="center"/>
          </w:tcPr>
          <w:p w14:paraId="36220862">
            <w:pPr>
              <w:pStyle w:val="178"/>
            </w:pPr>
            <w:r>
              <w:rPr>
                <w:rFonts w:hint="eastAsia"/>
              </w:rPr>
              <w:t>≤15%</w:t>
            </w:r>
          </w:p>
        </w:tc>
      </w:tr>
      <w:tr w14:paraId="53F325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dxa"/>
            <w:vMerge w:val="restart"/>
            <w:shd w:val="clear" w:color="auto" w:fill="auto"/>
            <w:vAlign w:val="center"/>
          </w:tcPr>
          <w:p w14:paraId="01E4F0D1">
            <w:pPr>
              <w:pStyle w:val="178"/>
            </w:pPr>
            <w:r>
              <w:rPr>
                <w:rFonts w:hint="eastAsia"/>
              </w:rPr>
              <w:t>不</w:t>
            </w:r>
          </w:p>
          <w:p w14:paraId="58ABC67A">
            <w:pPr>
              <w:pStyle w:val="178"/>
            </w:pPr>
            <w:r>
              <w:rPr>
                <w:rFonts w:hint="eastAsia"/>
              </w:rPr>
              <w:t>完</w:t>
            </w:r>
          </w:p>
          <w:p w14:paraId="4C3BD611">
            <w:pPr>
              <w:pStyle w:val="178"/>
            </w:pPr>
            <w:r>
              <w:rPr>
                <w:rFonts w:hint="eastAsia"/>
              </w:rPr>
              <w:t>善</w:t>
            </w:r>
          </w:p>
          <w:p w14:paraId="295267FA">
            <w:pPr>
              <w:pStyle w:val="178"/>
            </w:pPr>
            <w:r>
              <w:rPr>
                <w:rFonts w:hint="eastAsia"/>
              </w:rPr>
              <w:t>椒</w:t>
            </w:r>
          </w:p>
        </w:tc>
        <w:tc>
          <w:tcPr>
            <w:tcW w:w="1777" w:type="dxa"/>
            <w:gridSpan w:val="2"/>
            <w:shd w:val="clear" w:color="auto" w:fill="auto"/>
            <w:vAlign w:val="center"/>
          </w:tcPr>
          <w:p w14:paraId="72FAE0ED">
            <w:pPr>
              <w:pStyle w:val="178"/>
            </w:pPr>
            <w:r>
              <w:rPr>
                <w:rFonts w:hint="eastAsia"/>
              </w:rPr>
              <w:t>黄梢椒和花壳椒</w:t>
            </w:r>
          </w:p>
        </w:tc>
        <w:tc>
          <w:tcPr>
            <w:tcW w:w="2334" w:type="dxa"/>
            <w:shd w:val="clear" w:color="auto" w:fill="auto"/>
            <w:vAlign w:val="center"/>
          </w:tcPr>
          <w:p w14:paraId="1ABF2039">
            <w:pPr>
              <w:pStyle w:val="178"/>
            </w:pPr>
            <w:r>
              <w:rPr>
                <w:rFonts w:hint="eastAsia"/>
              </w:rPr>
              <w:t>允许黄梢椒和以红色为主显浅红白色暗斑且面积在全果1/4以下的花壳椒总量≤3%</w:t>
            </w:r>
          </w:p>
        </w:tc>
        <w:tc>
          <w:tcPr>
            <w:tcW w:w="2333" w:type="dxa"/>
            <w:shd w:val="clear" w:color="auto" w:fill="auto"/>
            <w:vAlign w:val="center"/>
          </w:tcPr>
          <w:p w14:paraId="4C4E3536">
            <w:pPr>
              <w:pStyle w:val="178"/>
            </w:pPr>
            <w:r>
              <w:rPr>
                <w:rFonts w:hint="eastAsia"/>
              </w:rPr>
              <w:t>允许黄梢椒和以红色为主显红白色斑块且面积在全果1/4以下的花壳椒总量≤5%</w:t>
            </w:r>
          </w:p>
        </w:tc>
        <w:tc>
          <w:tcPr>
            <w:tcW w:w="2334" w:type="dxa"/>
            <w:shd w:val="clear" w:color="auto" w:fill="auto"/>
            <w:vAlign w:val="center"/>
          </w:tcPr>
          <w:p w14:paraId="60E18F4C">
            <w:pPr>
              <w:pStyle w:val="178"/>
            </w:pPr>
            <w:r>
              <w:rPr>
                <w:rFonts w:hint="eastAsia"/>
              </w:rPr>
              <w:t>允许黄梢椒和以红色为主显白色斑块且面积在全果1/4以下的花壳椒总量≤7%</w:t>
            </w:r>
          </w:p>
        </w:tc>
      </w:tr>
      <w:tr w14:paraId="39CD06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dxa"/>
            <w:vMerge w:val="continue"/>
            <w:shd w:val="clear" w:color="auto" w:fill="auto"/>
            <w:vAlign w:val="center"/>
          </w:tcPr>
          <w:p w14:paraId="00B72B21">
            <w:pPr>
              <w:pStyle w:val="178"/>
            </w:pPr>
          </w:p>
        </w:tc>
        <w:tc>
          <w:tcPr>
            <w:tcW w:w="1777" w:type="dxa"/>
            <w:gridSpan w:val="2"/>
            <w:shd w:val="clear" w:color="auto" w:fill="auto"/>
            <w:vAlign w:val="center"/>
          </w:tcPr>
          <w:p w14:paraId="618B0158">
            <w:pPr>
              <w:pStyle w:val="178"/>
            </w:pPr>
            <w:r>
              <w:rPr>
                <w:rFonts w:hint="eastAsia"/>
              </w:rPr>
              <w:t>白壳椒</w:t>
            </w:r>
          </w:p>
        </w:tc>
        <w:tc>
          <w:tcPr>
            <w:tcW w:w="2334" w:type="dxa"/>
            <w:shd w:val="clear" w:color="auto" w:fill="auto"/>
            <w:vAlign w:val="center"/>
          </w:tcPr>
          <w:p w14:paraId="742D9EF5">
            <w:pPr>
              <w:pStyle w:val="178"/>
            </w:pPr>
            <w:r>
              <w:rPr>
                <w:rFonts w:hint="eastAsia"/>
              </w:rPr>
              <w:t>无</w:t>
            </w:r>
          </w:p>
        </w:tc>
        <w:tc>
          <w:tcPr>
            <w:tcW w:w="2333" w:type="dxa"/>
            <w:shd w:val="clear" w:color="auto" w:fill="auto"/>
            <w:vAlign w:val="center"/>
          </w:tcPr>
          <w:p w14:paraId="4B65DC42">
            <w:pPr>
              <w:pStyle w:val="178"/>
            </w:pPr>
            <w:r>
              <w:rPr>
                <w:rFonts w:hint="eastAsia"/>
              </w:rPr>
              <w:t>无</w:t>
            </w:r>
          </w:p>
        </w:tc>
        <w:tc>
          <w:tcPr>
            <w:tcW w:w="2334" w:type="dxa"/>
            <w:shd w:val="clear" w:color="auto" w:fill="auto"/>
            <w:vAlign w:val="center"/>
          </w:tcPr>
          <w:p w14:paraId="62725C06">
            <w:pPr>
              <w:pStyle w:val="178"/>
            </w:pPr>
            <w:r>
              <w:rPr>
                <w:rFonts w:hint="eastAsia"/>
              </w:rPr>
              <w:t>无</w:t>
            </w:r>
          </w:p>
        </w:tc>
      </w:tr>
      <w:tr w14:paraId="767B6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dxa"/>
            <w:vMerge w:val="continue"/>
            <w:shd w:val="clear" w:color="auto" w:fill="auto"/>
            <w:vAlign w:val="center"/>
          </w:tcPr>
          <w:p w14:paraId="05C68728">
            <w:pPr>
              <w:pStyle w:val="178"/>
            </w:pPr>
          </w:p>
        </w:tc>
        <w:tc>
          <w:tcPr>
            <w:tcW w:w="1777" w:type="dxa"/>
            <w:gridSpan w:val="2"/>
            <w:shd w:val="clear" w:color="auto" w:fill="auto"/>
            <w:vAlign w:val="center"/>
          </w:tcPr>
          <w:p w14:paraId="5E29EA48">
            <w:pPr>
              <w:pStyle w:val="178"/>
            </w:pPr>
            <w:r>
              <w:rPr>
                <w:rFonts w:hint="eastAsia"/>
              </w:rPr>
              <w:t>虫蛀椒</w:t>
            </w:r>
          </w:p>
        </w:tc>
        <w:tc>
          <w:tcPr>
            <w:tcW w:w="2334" w:type="dxa"/>
            <w:shd w:val="clear" w:color="auto" w:fill="auto"/>
            <w:vAlign w:val="center"/>
          </w:tcPr>
          <w:p w14:paraId="30DCD875">
            <w:pPr>
              <w:pStyle w:val="178"/>
            </w:pPr>
            <w:r>
              <w:rPr>
                <w:rFonts w:hint="eastAsia"/>
              </w:rPr>
              <w:t>无</w:t>
            </w:r>
          </w:p>
        </w:tc>
        <w:tc>
          <w:tcPr>
            <w:tcW w:w="2333" w:type="dxa"/>
            <w:shd w:val="clear" w:color="auto" w:fill="auto"/>
            <w:vAlign w:val="center"/>
          </w:tcPr>
          <w:p w14:paraId="485AA072">
            <w:pPr>
              <w:pStyle w:val="178"/>
            </w:pPr>
            <w:r>
              <w:rPr>
                <w:rFonts w:hint="eastAsia"/>
              </w:rPr>
              <w:t>无</w:t>
            </w:r>
          </w:p>
        </w:tc>
        <w:tc>
          <w:tcPr>
            <w:tcW w:w="2334" w:type="dxa"/>
            <w:shd w:val="clear" w:color="auto" w:fill="auto"/>
            <w:vAlign w:val="center"/>
          </w:tcPr>
          <w:p w14:paraId="00E99AF1">
            <w:pPr>
              <w:pStyle w:val="178"/>
            </w:pPr>
            <w:r>
              <w:rPr>
                <w:rFonts w:hint="eastAsia"/>
              </w:rPr>
              <w:t>≤1%</w:t>
            </w:r>
          </w:p>
        </w:tc>
      </w:tr>
      <w:tr w14:paraId="426FEB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dxa"/>
            <w:vMerge w:val="continue"/>
            <w:shd w:val="clear" w:color="auto" w:fill="auto"/>
            <w:vAlign w:val="center"/>
          </w:tcPr>
          <w:p w14:paraId="774BAEEC">
            <w:pPr>
              <w:pStyle w:val="178"/>
            </w:pPr>
          </w:p>
        </w:tc>
        <w:tc>
          <w:tcPr>
            <w:tcW w:w="1777" w:type="dxa"/>
            <w:gridSpan w:val="2"/>
            <w:shd w:val="clear" w:color="auto" w:fill="auto"/>
            <w:vAlign w:val="center"/>
          </w:tcPr>
          <w:p w14:paraId="2650EC08">
            <w:pPr>
              <w:pStyle w:val="178"/>
            </w:pPr>
            <w:r>
              <w:rPr>
                <w:rFonts w:hint="eastAsia"/>
              </w:rPr>
              <w:t>黑斑椒</w:t>
            </w:r>
          </w:p>
        </w:tc>
        <w:tc>
          <w:tcPr>
            <w:tcW w:w="2334" w:type="dxa"/>
            <w:shd w:val="clear" w:color="auto" w:fill="auto"/>
            <w:vAlign w:val="center"/>
          </w:tcPr>
          <w:p w14:paraId="04391FC8">
            <w:pPr>
              <w:pStyle w:val="178"/>
            </w:pPr>
            <w:r>
              <w:rPr>
                <w:rFonts w:hint="eastAsia"/>
              </w:rPr>
              <w:t>无</w:t>
            </w:r>
          </w:p>
        </w:tc>
        <w:tc>
          <w:tcPr>
            <w:tcW w:w="2333" w:type="dxa"/>
            <w:shd w:val="clear" w:color="auto" w:fill="auto"/>
            <w:vAlign w:val="center"/>
          </w:tcPr>
          <w:p w14:paraId="6E271F00">
            <w:pPr>
              <w:pStyle w:val="178"/>
            </w:pPr>
            <w:r>
              <w:rPr>
                <w:rFonts w:hint="eastAsia"/>
              </w:rPr>
              <w:t>≤1%</w:t>
            </w:r>
          </w:p>
        </w:tc>
        <w:tc>
          <w:tcPr>
            <w:tcW w:w="2334" w:type="dxa"/>
            <w:shd w:val="clear" w:color="auto" w:fill="auto"/>
            <w:vAlign w:val="center"/>
          </w:tcPr>
          <w:p w14:paraId="205FF8E5">
            <w:pPr>
              <w:pStyle w:val="178"/>
            </w:pPr>
            <w:r>
              <w:rPr>
                <w:rFonts w:hint="eastAsia"/>
              </w:rPr>
              <w:t>≤2%</w:t>
            </w:r>
          </w:p>
        </w:tc>
      </w:tr>
      <w:tr w14:paraId="60BBF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dxa"/>
            <w:vMerge w:val="continue"/>
            <w:shd w:val="clear" w:color="auto" w:fill="auto"/>
            <w:vAlign w:val="center"/>
          </w:tcPr>
          <w:p w14:paraId="23A3AC9B">
            <w:pPr>
              <w:pStyle w:val="178"/>
            </w:pPr>
          </w:p>
        </w:tc>
        <w:tc>
          <w:tcPr>
            <w:tcW w:w="1777" w:type="dxa"/>
            <w:gridSpan w:val="2"/>
            <w:shd w:val="clear" w:color="auto" w:fill="auto"/>
            <w:vAlign w:val="center"/>
          </w:tcPr>
          <w:p w14:paraId="19F95DFB">
            <w:pPr>
              <w:pStyle w:val="178"/>
            </w:pPr>
            <w:r>
              <w:rPr>
                <w:rFonts w:hint="eastAsia"/>
              </w:rPr>
              <w:t>不成熟椒</w:t>
            </w:r>
          </w:p>
        </w:tc>
        <w:tc>
          <w:tcPr>
            <w:tcW w:w="2334" w:type="dxa"/>
            <w:shd w:val="clear" w:color="auto" w:fill="auto"/>
            <w:vAlign w:val="center"/>
          </w:tcPr>
          <w:p w14:paraId="15FD5DD4">
            <w:pPr>
              <w:pStyle w:val="178"/>
            </w:pPr>
            <w:r>
              <w:rPr>
                <w:rFonts w:hint="eastAsia"/>
              </w:rPr>
              <w:t>无</w:t>
            </w:r>
          </w:p>
        </w:tc>
        <w:tc>
          <w:tcPr>
            <w:tcW w:w="2333" w:type="dxa"/>
            <w:shd w:val="clear" w:color="auto" w:fill="auto"/>
            <w:vAlign w:val="center"/>
          </w:tcPr>
          <w:p w14:paraId="4A71B5DA">
            <w:pPr>
              <w:pStyle w:val="178"/>
            </w:pPr>
            <w:r>
              <w:rPr>
                <w:rFonts w:hint="eastAsia"/>
              </w:rPr>
              <w:t>≤1%</w:t>
            </w:r>
          </w:p>
        </w:tc>
        <w:tc>
          <w:tcPr>
            <w:tcW w:w="2334" w:type="dxa"/>
            <w:shd w:val="clear" w:color="auto" w:fill="auto"/>
            <w:vAlign w:val="center"/>
          </w:tcPr>
          <w:p w14:paraId="0666C189">
            <w:pPr>
              <w:pStyle w:val="178"/>
            </w:pPr>
            <w:r>
              <w:rPr>
                <w:rFonts w:hint="eastAsia"/>
              </w:rPr>
              <w:t>≤2%</w:t>
            </w:r>
          </w:p>
        </w:tc>
      </w:tr>
      <w:tr w14:paraId="21CACB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dxa"/>
            <w:vMerge w:val="continue"/>
            <w:shd w:val="clear" w:color="auto" w:fill="auto"/>
            <w:vAlign w:val="center"/>
          </w:tcPr>
          <w:p w14:paraId="6DA76C8D">
            <w:pPr>
              <w:pStyle w:val="178"/>
            </w:pPr>
          </w:p>
        </w:tc>
        <w:tc>
          <w:tcPr>
            <w:tcW w:w="1777" w:type="dxa"/>
            <w:gridSpan w:val="2"/>
            <w:shd w:val="clear" w:color="auto" w:fill="auto"/>
            <w:vAlign w:val="center"/>
          </w:tcPr>
          <w:p w14:paraId="3A365F3F">
            <w:pPr>
              <w:pStyle w:val="178"/>
            </w:pPr>
            <w:r>
              <w:rPr>
                <w:rFonts w:hint="eastAsia"/>
              </w:rPr>
              <w:t>断裂椒</w:t>
            </w:r>
          </w:p>
        </w:tc>
        <w:tc>
          <w:tcPr>
            <w:tcW w:w="2334" w:type="dxa"/>
            <w:shd w:val="clear" w:color="auto" w:fill="auto"/>
            <w:vAlign w:val="center"/>
          </w:tcPr>
          <w:p w14:paraId="4E7354F4">
            <w:pPr>
              <w:pStyle w:val="178"/>
            </w:pPr>
            <w:r>
              <w:rPr>
                <w:rFonts w:hint="eastAsia"/>
              </w:rPr>
              <w:t>断裂长度超过1/3以上的断裂椒总量≤3%</w:t>
            </w:r>
          </w:p>
        </w:tc>
        <w:tc>
          <w:tcPr>
            <w:tcW w:w="2333" w:type="dxa"/>
            <w:shd w:val="clear" w:color="auto" w:fill="auto"/>
            <w:vAlign w:val="center"/>
          </w:tcPr>
          <w:p w14:paraId="54DB699D">
            <w:pPr>
              <w:pStyle w:val="178"/>
            </w:pPr>
            <w:r>
              <w:rPr>
                <w:rFonts w:hint="eastAsia"/>
              </w:rPr>
              <w:t>断裂长度超过1/3以上的断裂椒总量≤5%</w:t>
            </w:r>
          </w:p>
        </w:tc>
        <w:tc>
          <w:tcPr>
            <w:tcW w:w="2334" w:type="dxa"/>
            <w:shd w:val="clear" w:color="auto" w:fill="auto"/>
            <w:vAlign w:val="center"/>
          </w:tcPr>
          <w:p w14:paraId="7C897E3E">
            <w:pPr>
              <w:pStyle w:val="178"/>
            </w:pPr>
            <w:r>
              <w:rPr>
                <w:rFonts w:hint="eastAsia"/>
              </w:rPr>
              <w:t>断裂长度超过1/3以上的断裂椒总量≤9%</w:t>
            </w:r>
          </w:p>
        </w:tc>
      </w:tr>
      <w:tr w14:paraId="4445E2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gridSpan w:val="3"/>
            <w:shd w:val="clear" w:color="auto" w:fill="auto"/>
            <w:vAlign w:val="center"/>
          </w:tcPr>
          <w:p w14:paraId="14DD23C1">
            <w:pPr>
              <w:pStyle w:val="178"/>
            </w:pPr>
            <w:r>
              <w:rPr>
                <w:rFonts w:hint="eastAsia"/>
              </w:rPr>
              <w:t>异品种椒</w:t>
            </w:r>
          </w:p>
        </w:tc>
        <w:tc>
          <w:tcPr>
            <w:tcW w:w="2334" w:type="dxa"/>
            <w:shd w:val="clear" w:color="auto" w:fill="auto"/>
            <w:vAlign w:val="center"/>
          </w:tcPr>
          <w:p w14:paraId="2504BEA6">
            <w:pPr>
              <w:pStyle w:val="178"/>
            </w:pPr>
            <w:r>
              <w:rPr>
                <w:rFonts w:hint="eastAsia"/>
              </w:rPr>
              <w:t>无</w:t>
            </w:r>
          </w:p>
        </w:tc>
        <w:tc>
          <w:tcPr>
            <w:tcW w:w="2333" w:type="dxa"/>
            <w:shd w:val="clear" w:color="auto" w:fill="auto"/>
            <w:vAlign w:val="center"/>
          </w:tcPr>
          <w:p w14:paraId="1A70DAEE">
            <w:pPr>
              <w:pStyle w:val="178"/>
            </w:pPr>
            <w:r>
              <w:rPr>
                <w:rFonts w:hint="eastAsia"/>
              </w:rPr>
              <w:t>≤1%</w:t>
            </w:r>
          </w:p>
        </w:tc>
        <w:tc>
          <w:tcPr>
            <w:tcW w:w="2334" w:type="dxa"/>
            <w:shd w:val="clear" w:color="auto" w:fill="auto"/>
            <w:vAlign w:val="center"/>
          </w:tcPr>
          <w:p w14:paraId="42D29DC3">
            <w:pPr>
              <w:pStyle w:val="178"/>
            </w:pPr>
            <w:r>
              <w:rPr>
                <w:rFonts w:hint="eastAsia"/>
              </w:rPr>
              <w:t>≤2%</w:t>
            </w:r>
          </w:p>
        </w:tc>
      </w:tr>
      <w:tr w14:paraId="6777E1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gridSpan w:val="3"/>
            <w:shd w:val="clear" w:color="auto" w:fill="auto"/>
            <w:vAlign w:val="center"/>
          </w:tcPr>
          <w:p w14:paraId="1C8B2AF3">
            <w:pPr>
              <w:pStyle w:val="179"/>
              <w:numPr>
                <w:ilvl w:val="0"/>
                <w:numId w:val="0"/>
              </w:numPr>
              <w:ind w:left="737" w:firstLine="360" w:firstLineChars="200"/>
            </w:pPr>
            <w:r>
              <w:rPr>
                <w:rFonts w:hint="eastAsia"/>
              </w:rPr>
              <w:t>杂质</w:t>
            </w:r>
          </w:p>
        </w:tc>
        <w:tc>
          <w:tcPr>
            <w:tcW w:w="2334" w:type="dxa"/>
            <w:shd w:val="clear" w:color="auto" w:fill="auto"/>
            <w:vAlign w:val="center"/>
          </w:tcPr>
          <w:p w14:paraId="49372A8A">
            <w:pPr>
              <w:pStyle w:val="179"/>
              <w:numPr>
                <w:ilvl w:val="0"/>
                <w:numId w:val="0"/>
              </w:numPr>
              <w:ind w:left="737" w:hanging="374"/>
            </w:pPr>
            <w:r>
              <w:rPr>
                <w:rFonts w:hint="eastAsia"/>
              </w:rPr>
              <w:t>不允许有外来杂质，固有杂质≤3%</w:t>
            </w:r>
          </w:p>
        </w:tc>
        <w:tc>
          <w:tcPr>
            <w:tcW w:w="2333" w:type="dxa"/>
            <w:shd w:val="clear" w:color="auto" w:fill="auto"/>
            <w:vAlign w:val="center"/>
          </w:tcPr>
          <w:p w14:paraId="17A25D59">
            <w:pPr>
              <w:pStyle w:val="179"/>
              <w:numPr>
                <w:ilvl w:val="0"/>
                <w:numId w:val="0"/>
              </w:numPr>
              <w:ind w:left="737" w:hanging="374"/>
            </w:pPr>
            <w:r>
              <w:rPr>
                <w:rFonts w:hint="eastAsia"/>
              </w:rPr>
              <w:t>不允许有外来杂质，固有杂质≤4%</w:t>
            </w:r>
          </w:p>
        </w:tc>
        <w:tc>
          <w:tcPr>
            <w:tcW w:w="2334" w:type="dxa"/>
            <w:shd w:val="clear" w:color="auto" w:fill="auto"/>
            <w:vAlign w:val="center"/>
          </w:tcPr>
          <w:p w14:paraId="742A2CD3">
            <w:pPr>
              <w:pStyle w:val="179"/>
              <w:numPr>
                <w:ilvl w:val="0"/>
                <w:numId w:val="0"/>
              </w:numPr>
              <w:ind w:left="737" w:hanging="374"/>
            </w:pPr>
            <w:bookmarkStart w:id="44" w:name="_Hlk170844229"/>
            <w:r>
              <w:rPr>
                <w:rFonts w:hint="eastAsia"/>
              </w:rPr>
              <w:t>不允许有外来杂质，固有杂质≤5%</w:t>
            </w:r>
          </w:p>
        </w:tc>
      </w:tr>
      <w:bookmarkEnd w:id="44"/>
    </w:tbl>
    <w:p w14:paraId="44B720E1">
      <w:pPr>
        <w:pStyle w:val="105"/>
        <w:numPr>
          <w:ilvl w:val="0"/>
          <w:numId w:val="0"/>
        </w:numPr>
        <w:spacing w:before="156" w:after="156"/>
      </w:pPr>
      <w:r>
        <w:rPr>
          <w:rFonts w:hint="eastAsia"/>
        </w:rPr>
        <w:t>4.</w:t>
      </w:r>
      <w:r>
        <w:rPr>
          <w:rFonts w:hint="eastAsia"/>
          <w:lang w:val="en-US" w:eastAsia="zh-CN"/>
        </w:rPr>
        <w:t>4</w:t>
      </w:r>
      <w:r>
        <w:rPr>
          <w:rFonts w:hint="eastAsia"/>
        </w:rPr>
        <w:t xml:space="preserve">  卫生指标</w:t>
      </w:r>
    </w:p>
    <w:p w14:paraId="7CEC8588">
      <w:pPr>
        <w:pStyle w:val="65"/>
        <w:numPr>
          <w:ilvl w:val="3"/>
          <w:numId w:val="0"/>
        </w:numPr>
        <w:spacing w:before="156" w:after="156"/>
        <w:ind w:leftChars="0"/>
      </w:pPr>
      <w:r>
        <w:rPr>
          <w:rFonts w:hint="eastAsia"/>
          <w:lang w:val="en-US" w:eastAsia="zh-CN"/>
        </w:rPr>
        <w:t xml:space="preserve">4.4.1 </w:t>
      </w:r>
      <w:r>
        <w:rPr>
          <w:rFonts w:hint="eastAsia"/>
        </w:rPr>
        <w:t>真菌毒素限量</w:t>
      </w:r>
    </w:p>
    <w:p w14:paraId="41A632FE">
      <w:pPr>
        <w:pStyle w:val="56"/>
        <w:ind w:firstLine="420"/>
      </w:pPr>
      <w:r>
        <w:rPr>
          <w:rFonts w:hint="eastAsia"/>
        </w:rPr>
        <w:t>应符合GB 2761的规定。</w:t>
      </w:r>
    </w:p>
    <w:p w14:paraId="5748F68F">
      <w:pPr>
        <w:pStyle w:val="65"/>
        <w:numPr>
          <w:ilvl w:val="3"/>
          <w:numId w:val="0"/>
        </w:numPr>
        <w:spacing w:before="156" w:after="156"/>
        <w:ind w:leftChars="0"/>
      </w:pPr>
      <w:r>
        <w:rPr>
          <w:rFonts w:hint="eastAsia"/>
          <w:lang w:val="en-US" w:eastAsia="zh-CN"/>
        </w:rPr>
        <w:t xml:space="preserve">4.4.2 </w:t>
      </w:r>
      <w:r>
        <w:rPr>
          <w:rFonts w:hint="eastAsia"/>
        </w:rPr>
        <w:t>污染物限量</w:t>
      </w:r>
    </w:p>
    <w:p w14:paraId="09467F7C">
      <w:pPr>
        <w:pStyle w:val="56"/>
        <w:ind w:firstLine="420"/>
      </w:pPr>
      <w:r>
        <w:rPr>
          <w:rFonts w:hint="eastAsia"/>
        </w:rPr>
        <w:t>应符合GB 2762的规定。</w:t>
      </w:r>
    </w:p>
    <w:p w14:paraId="05820E5A">
      <w:pPr>
        <w:pStyle w:val="65"/>
        <w:numPr>
          <w:ilvl w:val="3"/>
          <w:numId w:val="0"/>
        </w:numPr>
        <w:spacing w:before="156" w:after="156"/>
        <w:ind w:leftChars="0"/>
      </w:pPr>
      <w:r>
        <w:rPr>
          <w:rFonts w:hint="eastAsia"/>
          <w:lang w:val="en-US" w:eastAsia="zh-CN"/>
        </w:rPr>
        <w:t xml:space="preserve">4.4.3 </w:t>
      </w:r>
      <w:r>
        <w:rPr>
          <w:rFonts w:hint="eastAsia"/>
        </w:rPr>
        <w:t>农药残留限量</w:t>
      </w:r>
    </w:p>
    <w:p w14:paraId="399B4973">
      <w:pPr>
        <w:pStyle w:val="56"/>
        <w:ind w:firstLine="420"/>
      </w:pPr>
      <w:r>
        <w:rPr>
          <w:rFonts w:hint="eastAsia"/>
        </w:rPr>
        <w:t>应符合GB 2763的规定。</w:t>
      </w:r>
    </w:p>
    <w:p w14:paraId="5B16F3DE">
      <w:pPr>
        <w:pStyle w:val="104"/>
        <w:spacing w:before="312" w:after="312"/>
        <w:rPr>
          <w:rFonts w:hint="default" w:eastAsia="宋体"/>
          <w:lang w:val="en-US" w:eastAsia="zh-CN"/>
        </w:rPr>
      </w:pPr>
      <w:r>
        <w:rPr>
          <w:rFonts w:hint="eastAsia"/>
          <w:lang w:eastAsia="zh-CN"/>
        </w:rPr>
        <w:t>检</w:t>
      </w:r>
      <w:r>
        <w:rPr>
          <w:rFonts w:hint="eastAsia"/>
        </w:rPr>
        <w:t>验方法</w:t>
      </w:r>
    </w:p>
    <w:p w14:paraId="36903000">
      <w:pPr>
        <w:pStyle w:val="105"/>
        <w:numPr>
          <w:ilvl w:val="0"/>
          <w:numId w:val="0"/>
        </w:numPr>
        <w:spacing w:before="156" w:after="156"/>
      </w:pPr>
      <w:r>
        <w:rPr>
          <w:rFonts w:hint="eastAsia"/>
        </w:rPr>
        <w:t>5.1  感官检验</w:t>
      </w:r>
    </w:p>
    <w:p w14:paraId="44402F50">
      <w:pPr>
        <w:pStyle w:val="165"/>
      </w:pPr>
      <w:r>
        <w:rPr>
          <w:rFonts w:hint="eastAsia"/>
        </w:rPr>
        <w:t>色泽、气味、整齐度、霉变椒、异品种椒和杂质按SN/T 0231规定的方法执行。</w:t>
      </w:r>
    </w:p>
    <w:p w14:paraId="56CCAC99">
      <w:pPr>
        <w:pStyle w:val="165"/>
      </w:pPr>
      <w:r>
        <w:rPr>
          <w:rFonts w:hint="eastAsia"/>
        </w:rPr>
        <w:t>各不完善椒含量、不完善椒总量按NY/T 3610附录A规定的方法执行。</w:t>
      </w:r>
    </w:p>
    <w:p w14:paraId="7BD15869">
      <w:pPr>
        <w:pStyle w:val="165"/>
      </w:pPr>
      <w:r>
        <w:rPr>
          <w:rFonts w:hint="eastAsia"/>
        </w:rPr>
        <w:t>水分按GB 5009.3规定的方法执行。</w:t>
      </w:r>
    </w:p>
    <w:p w14:paraId="04869FF0">
      <w:pPr>
        <w:pStyle w:val="105"/>
        <w:numPr>
          <w:ilvl w:val="0"/>
          <w:numId w:val="0"/>
        </w:numPr>
        <w:spacing w:before="156" w:after="156"/>
        <w:rPr>
          <w:rFonts w:hint="eastAsia" w:eastAsia="黑体"/>
          <w:lang w:eastAsia="zh-CN"/>
        </w:rPr>
      </w:pPr>
      <w:r>
        <w:rPr>
          <w:rFonts w:hint="eastAsia"/>
        </w:rPr>
        <w:t>5.2  卫生指标</w:t>
      </w:r>
      <w:r>
        <w:rPr>
          <w:rFonts w:hint="eastAsia"/>
          <w:lang w:eastAsia="zh-CN"/>
        </w:rPr>
        <w:t>检验</w:t>
      </w:r>
    </w:p>
    <w:p w14:paraId="5A4DEFDE">
      <w:pPr>
        <w:pStyle w:val="65"/>
        <w:numPr>
          <w:ilvl w:val="0"/>
          <w:numId w:val="0"/>
        </w:numPr>
        <w:spacing w:before="156" w:after="156"/>
      </w:pPr>
      <w:r>
        <w:rPr>
          <w:rFonts w:hint="eastAsia"/>
        </w:rPr>
        <w:t>5.2.1  真菌毒素</w:t>
      </w:r>
    </w:p>
    <w:p w14:paraId="1F6801D2">
      <w:pPr>
        <w:pStyle w:val="56"/>
        <w:ind w:firstLine="420"/>
      </w:pPr>
      <w:r>
        <w:rPr>
          <w:rFonts w:hint="eastAsia"/>
        </w:rPr>
        <w:t>按GB 2761规定的方法测定。</w:t>
      </w:r>
    </w:p>
    <w:p w14:paraId="19CE491B">
      <w:pPr>
        <w:pStyle w:val="65"/>
        <w:numPr>
          <w:ilvl w:val="0"/>
          <w:numId w:val="0"/>
        </w:numPr>
        <w:spacing w:before="156" w:after="156"/>
      </w:pPr>
      <w:r>
        <w:rPr>
          <w:rFonts w:hint="eastAsia"/>
        </w:rPr>
        <w:t>5.2.2  污染物</w:t>
      </w:r>
    </w:p>
    <w:p w14:paraId="3828E2ED">
      <w:pPr>
        <w:pStyle w:val="56"/>
        <w:ind w:firstLine="420"/>
      </w:pPr>
      <w:r>
        <w:rPr>
          <w:rFonts w:hint="eastAsia"/>
        </w:rPr>
        <w:t>按GB 2762规定的方法测定。</w:t>
      </w:r>
    </w:p>
    <w:p w14:paraId="51CA709B">
      <w:pPr>
        <w:pStyle w:val="65"/>
        <w:numPr>
          <w:ilvl w:val="0"/>
          <w:numId w:val="0"/>
        </w:numPr>
        <w:spacing w:before="156" w:after="156"/>
      </w:pPr>
      <w:r>
        <w:rPr>
          <w:rFonts w:hint="eastAsia"/>
        </w:rPr>
        <w:t>5.2.3  农药残留</w:t>
      </w:r>
    </w:p>
    <w:p w14:paraId="3BA76D4D">
      <w:pPr>
        <w:pStyle w:val="56"/>
        <w:ind w:firstLine="420"/>
      </w:pPr>
      <w:r>
        <w:rPr>
          <w:rFonts w:hint="eastAsia"/>
        </w:rPr>
        <w:t>按GB 2763规定的方法测定。</w:t>
      </w:r>
    </w:p>
    <w:p w14:paraId="4832FD71">
      <w:pPr>
        <w:pStyle w:val="104"/>
        <w:spacing w:before="312" w:after="312"/>
      </w:pPr>
      <w:r>
        <w:rPr>
          <w:rFonts w:hint="eastAsia"/>
        </w:rPr>
        <w:t>检验规则</w:t>
      </w:r>
    </w:p>
    <w:p w14:paraId="268ACA17">
      <w:pPr>
        <w:pStyle w:val="105"/>
        <w:numPr>
          <w:ilvl w:val="0"/>
          <w:numId w:val="0"/>
        </w:numPr>
        <w:spacing w:before="156" w:after="156"/>
      </w:pPr>
      <w:r>
        <w:rPr>
          <w:rFonts w:hint="eastAsia"/>
        </w:rPr>
        <w:t>6.1  组批</w:t>
      </w:r>
    </w:p>
    <w:p w14:paraId="2C9DCFBA">
      <w:pPr>
        <w:pStyle w:val="56"/>
        <w:ind w:firstLine="420"/>
      </w:pPr>
      <w:r>
        <w:rPr>
          <w:rFonts w:hint="eastAsia"/>
        </w:rPr>
        <w:t>同品种、同产地、同等级、同时成交的干红辣椒作为一个检验批 。</w:t>
      </w:r>
    </w:p>
    <w:p w14:paraId="3C5E8CD3">
      <w:pPr>
        <w:pStyle w:val="105"/>
        <w:numPr>
          <w:ilvl w:val="0"/>
          <w:numId w:val="0"/>
        </w:numPr>
        <w:spacing w:before="156" w:after="156"/>
      </w:pPr>
      <w:r>
        <w:rPr>
          <w:rFonts w:hint="eastAsia"/>
        </w:rPr>
        <w:t>6.2  抽样</w:t>
      </w:r>
    </w:p>
    <w:p w14:paraId="1DAEACAA">
      <w:pPr>
        <w:pStyle w:val="165"/>
        <w:numPr>
          <w:ilvl w:val="0"/>
          <w:numId w:val="0"/>
        </w:numPr>
      </w:pPr>
      <w:r>
        <w:rPr>
          <w:rFonts w:hint="eastAsia" w:ascii="黑体" w:hAnsi="Times New Roman" w:eastAsia="黑体" w:cs="Times New Roman"/>
          <w:sz w:val="21"/>
          <w:lang w:val="en-US" w:eastAsia="zh-CN" w:bidi="ar-SA"/>
        </w:rPr>
        <w:t>6.2.1</w:t>
      </w:r>
      <w:r>
        <w:rPr>
          <w:rFonts w:hint="eastAsia"/>
        </w:rPr>
        <w:t xml:space="preserve">  抽样按GB/T 12729.2的规定执行。</w:t>
      </w:r>
    </w:p>
    <w:p w14:paraId="57D5294B">
      <w:pPr>
        <w:pStyle w:val="165"/>
        <w:numPr>
          <w:ilvl w:val="0"/>
          <w:numId w:val="0"/>
        </w:numPr>
      </w:pPr>
      <w:r>
        <w:rPr>
          <w:rFonts w:hint="eastAsia" w:ascii="黑体" w:hAnsi="Times New Roman" w:eastAsia="黑体" w:cs="Times New Roman"/>
          <w:sz w:val="21"/>
          <w:lang w:val="en-US" w:eastAsia="zh-CN" w:bidi="ar-SA"/>
        </w:rPr>
        <w:t>6.2.2</w:t>
      </w:r>
      <w:r>
        <w:rPr>
          <w:rFonts w:hint="eastAsia"/>
        </w:rPr>
        <w:t xml:space="preserve">  抽样应具有代表性。将抽取的原始样品混合均匀，平均分成</w:t>
      </w:r>
      <w:r>
        <w:rPr>
          <w:rFonts w:hint="eastAsia"/>
          <w:lang w:val="en-US" w:eastAsia="zh-CN"/>
        </w:rPr>
        <w:t>3</w:t>
      </w:r>
      <w:r>
        <w:rPr>
          <w:rFonts w:hint="eastAsia"/>
        </w:rPr>
        <w:t>份，每份不少于2kg。</w:t>
      </w:r>
    </w:p>
    <w:p w14:paraId="4A991809">
      <w:pPr>
        <w:pStyle w:val="165"/>
        <w:numPr>
          <w:ilvl w:val="0"/>
          <w:numId w:val="0"/>
        </w:numPr>
      </w:pPr>
      <w:r>
        <w:rPr>
          <w:rFonts w:hint="eastAsia" w:ascii="黑体" w:hAnsi="Times New Roman" w:eastAsia="黑体" w:cs="Times New Roman"/>
          <w:sz w:val="21"/>
          <w:lang w:val="en-US" w:eastAsia="zh-CN" w:bidi="ar-SA"/>
        </w:rPr>
        <w:t>6.2.3</w:t>
      </w:r>
      <w:r>
        <w:rPr>
          <w:rFonts w:hint="eastAsia"/>
        </w:rPr>
        <w:t xml:space="preserve">  样品应放置于洁净、干燥、避光的硬质容器内，避免污染。容器外应注明相应内容：如产地、品种、批次、等级、日期、取样人等。</w:t>
      </w:r>
    </w:p>
    <w:p w14:paraId="1AAB9809">
      <w:pPr>
        <w:pStyle w:val="105"/>
        <w:numPr>
          <w:ilvl w:val="0"/>
          <w:numId w:val="0"/>
        </w:numPr>
        <w:spacing w:before="156" w:after="156"/>
      </w:pPr>
      <w:r>
        <w:rPr>
          <w:rFonts w:hint="eastAsia"/>
        </w:rPr>
        <w:t>6.3  判定规则</w:t>
      </w:r>
    </w:p>
    <w:p w14:paraId="1855FB16">
      <w:pPr>
        <w:pStyle w:val="165"/>
      </w:pPr>
      <w:r>
        <w:rPr>
          <w:rFonts w:hint="eastAsia"/>
        </w:rPr>
        <w:t>同一检验批检验样品不少于3份，其中等级指标有2份达不到要求时，应降为下一等级。</w:t>
      </w:r>
    </w:p>
    <w:p w14:paraId="5568BD67">
      <w:pPr>
        <w:pStyle w:val="165"/>
      </w:pPr>
      <w:r>
        <w:rPr>
          <w:rFonts w:hint="eastAsia"/>
        </w:rPr>
        <w:t>检验不完善椒时，一个干红椒带有2个或2个以上缺陷，只计其最严重的一项作为不完善椒的项目计数。</w:t>
      </w:r>
    </w:p>
    <w:p w14:paraId="7631A04B">
      <w:pPr>
        <w:pStyle w:val="165"/>
      </w:pPr>
      <w:r>
        <w:rPr>
          <w:rFonts w:hint="eastAsia"/>
        </w:rPr>
        <w:t>等级指标低于三级，其他指标符合本文件规定的，判为等外级。</w:t>
      </w:r>
    </w:p>
    <w:p w14:paraId="5DB6106C">
      <w:pPr>
        <w:pStyle w:val="104"/>
        <w:spacing w:before="312" w:after="312"/>
      </w:pPr>
      <w:r>
        <w:rPr>
          <w:rFonts w:hint="eastAsia"/>
        </w:rPr>
        <w:t>标志、包装、运输和贮存</w:t>
      </w:r>
    </w:p>
    <w:p w14:paraId="6D922CBB">
      <w:pPr>
        <w:pStyle w:val="105"/>
        <w:numPr>
          <w:ilvl w:val="0"/>
          <w:numId w:val="0"/>
        </w:numPr>
        <w:spacing w:before="156" w:after="156"/>
      </w:pPr>
      <w:r>
        <w:rPr>
          <w:rFonts w:hint="eastAsia" w:ascii="黑体" w:hAnsi="Times New Roman" w:eastAsia="黑体" w:cs="Times New Roman"/>
          <w:sz w:val="21"/>
          <w:lang w:val="en-US" w:eastAsia="zh-CN" w:bidi="ar-SA"/>
        </w:rPr>
        <w:t>7.1</w:t>
      </w:r>
      <w:r>
        <w:rPr>
          <w:rFonts w:hint="eastAsia"/>
        </w:rPr>
        <w:t xml:space="preserve">  标志</w:t>
      </w:r>
    </w:p>
    <w:p w14:paraId="5525D172">
      <w:pPr>
        <w:pStyle w:val="56"/>
        <w:ind w:firstLine="420"/>
      </w:pPr>
      <w:r>
        <w:rPr>
          <w:rFonts w:hint="eastAsia"/>
        </w:rPr>
        <w:t>应符合GB/T 191的规定。</w:t>
      </w:r>
    </w:p>
    <w:p w14:paraId="144B7F04">
      <w:pPr>
        <w:pStyle w:val="105"/>
        <w:numPr>
          <w:ilvl w:val="0"/>
          <w:numId w:val="0"/>
        </w:numPr>
        <w:spacing w:before="156" w:after="156"/>
      </w:pPr>
      <w:r>
        <w:rPr>
          <w:rFonts w:hint="eastAsia"/>
        </w:rPr>
        <w:t>7.2  包装</w:t>
      </w:r>
    </w:p>
    <w:p w14:paraId="2C5CEC01">
      <w:pPr>
        <w:pStyle w:val="165"/>
        <w:numPr>
          <w:ilvl w:val="0"/>
          <w:numId w:val="0"/>
        </w:numPr>
      </w:pPr>
      <w:r>
        <w:rPr>
          <w:rFonts w:hint="eastAsia" w:ascii="黑体" w:hAnsi="黑体" w:eastAsia="黑体"/>
        </w:rPr>
        <w:t>7.2.1</w:t>
      </w:r>
      <w:r>
        <w:rPr>
          <w:rFonts w:hint="eastAsia"/>
        </w:rPr>
        <w:t xml:space="preserve">  包装材料应清洁、无毒、无污染、无异味，应符合国家相关食品安全卫生要求。</w:t>
      </w:r>
    </w:p>
    <w:p w14:paraId="0AF12441">
      <w:pPr>
        <w:pStyle w:val="165"/>
        <w:numPr>
          <w:ilvl w:val="0"/>
          <w:numId w:val="0"/>
        </w:numPr>
        <w:rPr>
          <w:rFonts w:hAnsi="宋体"/>
        </w:rPr>
      </w:pPr>
      <w:r>
        <w:rPr>
          <w:rFonts w:hint="eastAsia" w:ascii="黑体" w:hAnsi="黑体" w:eastAsia="黑体"/>
        </w:rPr>
        <w:t xml:space="preserve">7.2.2  </w:t>
      </w:r>
      <w:r>
        <w:rPr>
          <w:rFonts w:hint="eastAsia" w:hAnsi="宋体"/>
        </w:rPr>
        <w:t>内包装材料选用复合薄膜袋，应符合GB/T 21302的规定，外包装采用塑料编织袋或瓦楞纸箱，应符合GB/T 8946和GB/T 6543的要求。</w:t>
      </w:r>
    </w:p>
    <w:p w14:paraId="1FF881C8">
      <w:pPr>
        <w:pStyle w:val="105"/>
        <w:numPr>
          <w:ilvl w:val="0"/>
          <w:numId w:val="0"/>
        </w:numPr>
        <w:tabs>
          <w:tab w:val="left" w:pos="992"/>
        </w:tabs>
        <w:spacing w:before="156" w:after="156"/>
      </w:pPr>
      <w:r>
        <w:rPr>
          <w:rFonts w:hint="eastAsia"/>
        </w:rPr>
        <w:t>7.3</w:t>
      </w:r>
      <w:r>
        <w:rPr>
          <w:rFonts w:hint="eastAsia"/>
          <w:lang w:val="en-US" w:eastAsia="zh-CN"/>
        </w:rPr>
        <w:t xml:space="preserve">  </w:t>
      </w:r>
      <w:r>
        <w:rPr>
          <w:rFonts w:hint="eastAsia"/>
        </w:rPr>
        <w:t>运输</w:t>
      </w:r>
    </w:p>
    <w:p w14:paraId="25862AC4">
      <w:pPr>
        <w:pStyle w:val="165"/>
        <w:numPr>
          <w:ilvl w:val="3"/>
          <w:numId w:val="0"/>
        </w:numPr>
        <w:ind w:leftChars="0"/>
      </w:pPr>
      <w:r>
        <w:rPr>
          <w:rFonts w:hint="eastAsia" w:ascii="黑体" w:hAnsi="Times New Roman" w:eastAsia="黑体" w:cs="Times New Roman"/>
          <w:sz w:val="21"/>
          <w:lang w:val="en-US" w:eastAsia="zh-CN" w:bidi="ar-SA"/>
        </w:rPr>
        <w:t>7.3.1</w:t>
      </w:r>
      <w:r>
        <w:rPr>
          <w:rFonts w:hint="eastAsia"/>
          <w:lang w:val="en-US" w:eastAsia="zh-CN"/>
        </w:rPr>
        <w:t xml:space="preserve">  </w:t>
      </w:r>
      <w:r>
        <w:rPr>
          <w:rFonts w:hint="eastAsia"/>
        </w:rPr>
        <w:t>运输工具应清洁、干燥、无毒、无污染、无异味、有遮盖。</w:t>
      </w:r>
    </w:p>
    <w:p w14:paraId="34E9B88F">
      <w:pPr>
        <w:pStyle w:val="165"/>
        <w:numPr>
          <w:ilvl w:val="0"/>
          <w:numId w:val="0"/>
        </w:numPr>
      </w:pPr>
      <w:r>
        <w:rPr>
          <w:rFonts w:hint="eastAsia" w:ascii="黑体" w:hAnsi="Times New Roman" w:eastAsia="黑体" w:cs="Times New Roman"/>
          <w:sz w:val="21"/>
          <w:lang w:val="en-US" w:eastAsia="zh-CN" w:bidi="ar-SA"/>
        </w:rPr>
        <w:t>7.3.2</w:t>
      </w:r>
      <w:r>
        <w:rPr>
          <w:rFonts w:hint="eastAsia"/>
        </w:rPr>
        <w:t xml:space="preserve">  运输中应轻装、轻卸、防雨、防潮、防晒。不应与有腐蚀性、有毒有害、有异味的物品混运。</w:t>
      </w:r>
    </w:p>
    <w:p w14:paraId="3F0DF614">
      <w:pPr>
        <w:pStyle w:val="105"/>
        <w:numPr>
          <w:ilvl w:val="0"/>
          <w:numId w:val="0"/>
        </w:numPr>
        <w:spacing w:before="156" w:after="156"/>
      </w:pPr>
      <w:r>
        <w:rPr>
          <w:rFonts w:hint="eastAsia"/>
        </w:rPr>
        <w:t>7.4  贮存</w:t>
      </w:r>
    </w:p>
    <w:p w14:paraId="20E3B137">
      <w:pPr>
        <w:pStyle w:val="165"/>
        <w:numPr>
          <w:ilvl w:val="0"/>
          <w:numId w:val="0"/>
        </w:numPr>
      </w:pPr>
      <w:r>
        <w:rPr>
          <w:rFonts w:hint="eastAsia" w:ascii="黑体" w:hAnsi="Times New Roman" w:eastAsia="黑体" w:cs="Times New Roman"/>
          <w:sz w:val="21"/>
          <w:lang w:val="en-US" w:eastAsia="zh-CN" w:bidi="ar-SA"/>
        </w:rPr>
        <w:t>7.4.1</w:t>
      </w:r>
      <w:r>
        <w:rPr>
          <w:rFonts w:hint="eastAsia"/>
        </w:rPr>
        <w:t xml:space="preserve">  仓</w:t>
      </w:r>
      <w:r>
        <w:rPr>
          <w:rFonts w:hint="eastAsia"/>
          <w:lang w:eastAsia="zh-CN"/>
        </w:rPr>
        <w:t>储</w:t>
      </w:r>
      <w:r>
        <w:rPr>
          <w:rFonts w:hint="eastAsia"/>
        </w:rPr>
        <w:t>环境应通风、干燥、阴凉，有防潮、防尘、防蝇、防鼠、防污染等措施。</w:t>
      </w:r>
    </w:p>
    <w:p w14:paraId="59183E33">
      <w:pPr>
        <w:pStyle w:val="165"/>
        <w:numPr>
          <w:ilvl w:val="0"/>
          <w:numId w:val="0"/>
        </w:numPr>
      </w:pPr>
      <w:r>
        <w:rPr>
          <w:rFonts w:hint="eastAsia" w:ascii="黑体" w:hAnsi="Times New Roman" w:eastAsia="黑体" w:cs="Times New Roman"/>
          <w:sz w:val="21"/>
          <w:lang w:val="en-US" w:eastAsia="zh-CN" w:bidi="ar-SA"/>
        </w:rPr>
        <w:t>7.4.2</w:t>
      </w:r>
      <w:r>
        <w:rPr>
          <w:rFonts w:hint="eastAsia"/>
        </w:rPr>
        <w:t xml:space="preserve">  仓储地面应清洁卫生，散装贮存时应衬垫隔离物，大堆垛应留走道和通风道。</w:t>
      </w:r>
    </w:p>
    <w:p w14:paraId="42D6ADDD">
      <w:pPr>
        <w:pStyle w:val="165"/>
        <w:numPr>
          <w:ilvl w:val="0"/>
          <w:numId w:val="0"/>
        </w:numPr>
      </w:pPr>
      <w:r>
        <w:rPr>
          <w:rFonts w:hint="eastAsia" w:ascii="黑体" w:hAnsi="Times New Roman" w:eastAsia="黑体" w:cs="Times New Roman"/>
          <w:sz w:val="21"/>
          <w:lang w:val="en-US" w:eastAsia="zh-CN" w:bidi="ar-SA"/>
        </w:rPr>
        <w:t>7.4.3</w:t>
      </w:r>
      <w:r>
        <w:rPr>
          <w:rFonts w:hint="eastAsia"/>
        </w:rPr>
        <w:t xml:space="preserve">  包装成品应离墙离地存放，垫板离地与成品离墙距离10cm以上。堆放高度以包装成品受压不变形为宜。</w:t>
      </w:r>
    </w:p>
    <w:bookmarkEnd w:id="18"/>
    <w:p w14:paraId="17CFDB47">
      <w:pPr>
        <w:pStyle w:val="56"/>
        <w:ind w:firstLine="0" w:firstLineChars="0"/>
        <w:jc w:val="center"/>
      </w:pPr>
      <w:bookmarkStart w:id="45" w:name="BookMark8"/>
      <w:r>
        <w:rPr>
          <w:rFonts w:hint="eastAsia"/>
        </w:rPr>
        <w:drawing>
          <wp:inline distT="0" distB="0" distL="0" distR="0">
            <wp:extent cx="1485900" cy="317500"/>
            <wp:effectExtent l="0" t="0" r="0" b="6350"/>
            <wp:docPr id="2137995775" name="图片 1"/>
            <wp:cNvGraphicFramePr/>
            <a:graphic xmlns:a="http://schemas.openxmlformats.org/drawingml/2006/main">
              <a:graphicData uri="http://schemas.openxmlformats.org/drawingml/2006/picture">
                <pic:pic xmlns:pic="http://schemas.openxmlformats.org/drawingml/2006/picture">
                  <pic:nvPicPr>
                    <pic:cNvPr id="2137995775"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Noto Sans CJK HK">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98A9">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E35D4">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46F21">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4F3C3">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4E72B">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E280C">
    <w:pPr>
      <w:pStyle w:val="61"/>
    </w:pPr>
    <w:r>
      <w:fldChar w:fldCharType="begin"/>
    </w:r>
    <w:r>
      <w:instrText xml:space="preserve"> STYLEREF  标准文件_文件编号  \* MERGEFORMAT </w:instrText>
    </w:r>
    <w:r>
      <w:fldChar w:fldCharType="separate"/>
    </w:r>
    <w:r>
      <w:t>DB 1508/T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EB4F1">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1508/T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BF97AFC"/>
    <w:multiLevelType w:val="multilevel"/>
    <w:tmpl w:val="6BF97AFC"/>
    <w:lvl w:ilvl="0" w:tentative="0">
      <w:start w:val="4"/>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yNjQ1MTZiYjdkMDM1N2MwNzhkYzc4NzkzMGJmNWIifQ=="/>
  </w:docVars>
  <w:rsids>
    <w:rsidRoot w:val="00C5499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EB5"/>
    <w:rsid w:val="00060C2E"/>
    <w:rsid w:val="00061033"/>
    <w:rsid w:val="000619E9"/>
    <w:rsid w:val="000622D4"/>
    <w:rsid w:val="0006357D"/>
    <w:rsid w:val="00063FDE"/>
    <w:rsid w:val="00067BB8"/>
    <w:rsid w:val="00067F1E"/>
    <w:rsid w:val="00071CC0"/>
    <w:rsid w:val="00073C8C"/>
    <w:rsid w:val="00077B64"/>
    <w:rsid w:val="00080A1C"/>
    <w:rsid w:val="00082317"/>
    <w:rsid w:val="0008389B"/>
    <w:rsid w:val="00083D2C"/>
    <w:rsid w:val="00085E8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509"/>
    <w:rsid w:val="000D1795"/>
    <w:rsid w:val="000D329A"/>
    <w:rsid w:val="000D42ED"/>
    <w:rsid w:val="000D4B9C"/>
    <w:rsid w:val="000D4EB6"/>
    <w:rsid w:val="000D753B"/>
    <w:rsid w:val="000E4C9E"/>
    <w:rsid w:val="000E6FD7"/>
    <w:rsid w:val="000F06E1"/>
    <w:rsid w:val="000F0E3C"/>
    <w:rsid w:val="000F19D5"/>
    <w:rsid w:val="000F4AEA"/>
    <w:rsid w:val="000F633F"/>
    <w:rsid w:val="000F67E9"/>
    <w:rsid w:val="00104926"/>
    <w:rsid w:val="00110CB0"/>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137A"/>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F99"/>
    <w:rsid w:val="001852C9"/>
    <w:rsid w:val="00190087"/>
    <w:rsid w:val="001913C4"/>
    <w:rsid w:val="0019348F"/>
    <w:rsid w:val="00193A07"/>
    <w:rsid w:val="00194C95"/>
    <w:rsid w:val="00195B0C"/>
    <w:rsid w:val="00195C34"/>
    <w:rsid w:val="00196EF5"/>
    <w:rsid w:val="001A1A53"/>
    <w:rsid w:val="001A234A"/>
    <w:rsid w:val="001A4CF3"/>
    <w:rsid w:val="001B06E8"/>
    <w:rsid w:val="001B64C0"/>
    <w:rsid w:val="001B71D0"/>
    <w:rsid w:val="001B71EE"/>
    <w:rsid w:val="001C04A8"/>
    <w:rsid w:val="001C2C03"/>
    <w:rsid w:val="001C42F7"/>
    <w:rsid w:val="001C49E5"/>
    <w:rsid w:val="001C680C"/>
    <w:rsid w:val="001C7FEA"/>
    <w:rsid w:val="001D0499"/>
    <w:rsid w:val="001D0BBE"/>
    <w:rsid w:val="001D0ED4"/>
    <w:rsid w:val="001D212F"/>
    <w:rsid w:val="001D29D7"/>
    <w:rsid w:val="001D2C76"/>
    <w:rsid w:val="001D2DE7"/>
    <w:rsid w:val="001D411C"/>
    <w:rsid w:val="001E1B6A"/>
    <w:rsid w:val="001E2266"/>
    <w:rsid w:val="001E232C"/>
    <w:rsid w:val="001E2484"/>
    <w:rsid w:val="001E3CC4"/>
    <w:rsid w:val="001E4882"/>
    <w:rsid w:val="001E73AB"/>
    <w:rsid w:val="001F0401"/>
    <w:rsid w:val="001F092D"/>
    <w:rsid w:val="001F143A"/>
    <w:rsid w:val="001F1605"/>
    <w:rsid w:val="001F2508"/>
    <w:rsid w:val="001F4816"/>
    <w:rsid w:val="001F4EE9"/>
    <w:rsid w:val="001F69B4"/>
    <w:rsid w:val="001F77C7"/>
    <w:rsid w:val="00200183"/>
    <w:rsid w:val="00200333"/>
    <w:rsid w:val="0020107D"/>
    <w:rsid w:val="00202920"/>
    <w:rsid w:val="00202AA4"/>
    <w:rsid w:val="002031F7"/>
    <w:rsid w:val="002040E6"/>
    <w:rsid w:val="0020527B"/>
    <w:rsid w:val="00205F2C"/>
    <w:rsid w:val="00210A5B"/>
    <w:rsid w:val="00210B15"/>
    <w:rsid w:val="002142EA"/>
    <w:rsid w:val="002204BB"/>
    <w:rsid w:val="00221B79"/>
    <w:rsid w:val="00221C6B"/>
    <w:rsid w:val="002253A1"/>
    <w:rsid w:val="00225CF8"/>
    <w:rsid w:val="0022794E"/>
    <w:rsid w:val="00233D64"/>
    <w:rsid w:val="0023482A"/>
    <w:rsid w:val="002359CB"/>
    <w:rsid w:val="00240400"/>
    <w:rsid w:val="00243540"/>
    <w:rsid w:val="0024497B"/>
    <w:rsid w:val="0024515B"/>
    <w:rsid w:val="00246021"/>
    <w:rsid w:val="0024666E"/>
    <w:rsid w:val="00247F52"/>
    <w:rsid w:val="00250B25"/>
    <w:rsid w:val="00250BBE"/>
    <w:rsid w:val="002515C2"/>
    <w:rsid w:val="0025194F"/>
    <w:rsid w:val="0026148A"/>
    <w:rsid w:val="00262696"/>
    <w:rsid w:val="00263BAD"/>
    <w:rsid w:val="00263D25"/>
    <w:rsid w:val="002643C3"/>
    <w:rsid w:val="00264A0C"/>
    <w:rsid w:val="00266EEB"/>
    <w:rsid w:val="00267EF4"/>
    <w:rsid w:val="00270CB8"/>
    <w:rsid w:val="00272B08"/>
    <w:rsid w:val="002734A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AF0"/>
    <w:rsid w:val="002A757F"/>
    <w:rsid w:val="002A7F44"/>
    <w:rsid w:val="002B0C40"/>
    <w:rsid w:val="002B1888"/>
    <w:rsid w:val="002B1966"/>
    <w:rsid w:val="002B196D"/>
    <w:rsid w:val="002B4508"/>
    <w:rsid w:val="002B5779"/>
    <w:rsid w:val="002B7332"/>
    <w:rsid w:val="002B7F51"/>
    <w:rsid w:val="002C0386"/>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C11"/>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42C"/>
    <w:rsid w:val="003E660F"/>
    <w:rsid w:val="003F0841"/>
    <w:rsid w:val="003F17BF"/>
    <w:rsid w:val="003F23D3"/>
    <w:rsid w:val="003F3F08"/>
    <w:rsid w:val="003F49F1"/>
    <w:rsid w:val="003F520C"/>
    <w:rsid w:val="003F6272"/>
    <w:rsid w:val="00400E72"/>
    <w:rsid w:val="00401400"/>
    <w:rsid w:val="00404869"/>
    <w:rsid w:val="00405884"/>
    <w:rsid w:val="00407984"/>
    <w:rsid w:val="00407D39"/>
    <w:rsid w:val="0041477A"/>
    <w:rsid w:val="004167A3"/>
    <w:rsid w:val="00425DD1"/>
    <w:rsid w:val="00430D8F"/>
    <w:rsid w:val="00432DAA"/>
    <w:rsid w:val="0043388C"/>
    <w:rsid w:val="00434305"/>
    <w:rsid w:val="00435DF7"/>
    <w:rsid w:val="0044083F"/>
    <w:rsid w:val="00441AE7"/>
    <w:rsid w:val="00445574"/>
    <w:rsid w:val="004467FB"/>
    <w:rsid w:val="00452D6B"/>
    <w:rsid w:val="00453299"/>
    <w:rsid w:val="00454484"/>
    <w:rsid w:val="0045517B"/>
    <w:rsid w:val="00460D20"/>
    <w:rsid w:val="00463B77"/>
    <w:rsid w:val="00463C7B"/>
    <w:rsid w:val="004644A6"/>
    <w:rsid w:val="004659BD"/>
    <w:rsid w:val="00470775"/>
    <w:rsid w:val="004743CA"/>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24DE"/>
    <w:rsid w:val="004A4B57"/>
    <w:rsid w:val="004A63FA"/>
    <w:rsid w:val="004B0272"/>
    <w:rsid w:val="004B2701"/>
    <w:rsid w:val="004B2E1B"/>
    <w:rsid w:val="004B3AA8"/>
    <w:rsid w:val="004B3E93"/>
    <w:rsid w:val="004B6675"/>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4F0"/>
    <w:rsid w:val="005220EC"/>
    <w:rsid w:val="00523F95"/>
    <w:rsid w:val="00524D65"/>
    <w:rsid w:val="00525B16"/>
    <w:rsid w:val="00533D04"/>
    <w:rsid w:val="00534804"/>
    <w:rsid w:val="00534BDF"/>
    <w:rsid w:val="005354EA"/>
    <w:rsid w:val="0053585F"/>
    <w:rsid w:val="00535EC4"/>
    <w:rsid w:val="00535ED9"/>
    <w:rsid w:val="0053692B"/>
    <w:rsid w:val="00541502"/>
    <w:rsid w:val="00541853"/>
    <w:rsid w:val="00543BDA"/>
    <w:rsid w:val="005441CC"/>
    <w:rsid w:val="005479DA"/>
    <w:rsid w:val="00547BCC"/>
    <w:rsid w:val="0055013B"/>
    <w:rsid w:val="00551F6F"/>
    <w:rsid w:val="00555044"/>
    <w:rsid w:val="0055548F"/>
    <w:rsid w:val="00561475"/>
    <w:rsid w:val="0056487B"/>
    <w:rsid w:val="00564FB9"/>
    <w:rsid w:val="00565641"/>
    <w:rsid w:val="00573D9E"/>
    <w:rsid w:val="00577262"/>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17C43"/>
    <w:rsid w:val="006205D6"/>
    <w:rsid w:val="006252D8"/>
    <w:rsid w:val="006259BC"/>
    <w:rsid w:val="0062636B"/>
    <w:rsid w:val="00632182"/>
    <w:rsid w:val="00632AE0"/>
    <w:rsid w:val="00633C17"/>
    <w:rsid w:val="00634D9E"/>
    <w:rsid w:val="00636E3E"/>
    <w:rsid w:val="006370A0"/>
    <w:rsid w:val="006379F7"/>
    <w:rsid w:val="00637E4D"/>
    <w:rsid w:val="00640620"/>
    <w:rsid w:val="00641A1F"/>
    <w:rsid w:val="00645904"/>
    <w:rsid w:val="00646725"/>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77DB0"/>
    <w:rsid w:val="0068026D"/>
    <w:rsid w:val="00680A27"/>
    <w:rsid w:val="006816A4"/>
    <w:rsid w:val="006819B8"/>
    <w:rsid w:val="006840A6"/>
    <w:rsid w:val="006850CD"/>
    <w:rsid w:val="00685AAB"/>
    <w:rsid w:val="00695D22"/>
    <w:rsid w:val="006A07AA"/>
    <w:rsid w:val="006A258F"/>
    <w:rsid w:val="006A25E5"/>
    <w:rsid w:val="006A2B46"/>
    <w:rsid w:val="006A336D"/>
    <w:rsid w:val="006A37B9"/>
    <w:rsid w:val="006B2672"/>
    <w:rsid w:val="006B2E6D"/>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47EE"/>
    <w:rsid w:val="006F6284"/>
    <w:rsid w:val="007002C5"/>
    <w:rsid w:val="00704387"/>
    <w:rsid w:val="00706D1C"/>
    <w:rsid w:val="00707669"/>
    <w:rsid w:val="0071126C"/>
    <w:rsid w:val="00711CBA"/>
    <w:rsid w:val="00711FB5"/>
    <w:rsid w:val="00712A01"/>
    <w:rsid w:val="00714F58"/>
    <w:rsid w:val="00722FBF"/>
    <w:rsid w:val="00722FC2"/>
    <w:rsid w:val="00724879"/>
    <w:rsid w:val="00724E1B"/>
    <w:rsid w:val="00725949"/>
    <w:rsid w:val="00727FA2"/>
    <w:rsid w:val="007322D9"/>
    <w:rsid w:val="00732BC0"/>
    <w:rsid w:val="00732C68"/>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C6D"/>
    <w:rsid w:val="00765C43"/>
    <w:rsid w:val="00765EFB"/>
    <w:rsid w:val="007671CA"/>
    <w:rsid w:val="00767C61"/>
    <w:rsid w:val="0077008A"/>
    <w:rsid w:val="007706B4"/>
    <w:rsid w:val="00773C1F"/>
    <w:rsid w:val="00774DA4"/>
    <w:rsid w:val="00776599"/>
    <w:rsid w:val="00780949"/>
    <w:rsid w:val="0078114B"/>
    <w:rsid w:val="00781DD2"/>
    <w:rsid w:val="00783ECF"/>
    <w:rsid w:val="0078413A"/>
    <w:rsid w:val="007959E8"/>
    <w:rsid w:val="00795E9C"/>
    <w:rsid w:val="007A0521"/>
    <w:rsid w:val="007A1290"/>
    <w:rsid w:val="007A2196"/>
    <w:rsid w:val="007A2E12"/>
    <w:rsid w:val="007A3475"/>
    <w:rsid w:val="007A41C8"/>
    <w:rsid w:val="007A54CE"/>
    <w:rsid w:val="007A6FD9"/>
    <w:rsid w:val="007A7FFA"/>
    <w:rsid w:val="007B04EB"/>
    <w:rsid w:val="007B0D4F"/>
    <w:rsid w:val="007B28E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04B"/>
    <w:rsid w:val="007F0ED8"/>
    <w:rsid w:val="007F0F63"/>
    <w:rsid w:val="007F64E5"/>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4DB"/>
    <w:rsid w:val="00823303"/>
    <w:rsid w:val="008233B2"/>
    <w:rsid w:val="00823A9F"/>
    <w:rsid w:val="00823C85"/>
    <w:rsid w:val="00825138"/>
    <w:rsid w:val="008269DD"/>
    <w:rsid w:val="008305A4"/>
    <w:rsid w:val="00830621"/>
    <w:rsid w:val="0083348C"/>
    <w:rsid w:val="008335D0"/>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ADA"/>
    <w:rsid w:val="00883F93"/>
    <w:rsid w:val="00884DB3"/>
    <w:rsid w:val="00885A9D"/>
    <w:rsid w:val="008864F6"/>
    <w:rsid w:val="0089049D"/>
    <w:rsid w:val="008922B9"/>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BBC"/>
    <w:rsid w:val="008D0CE8"/>
    <w:rsid w:val="008D2D1D"/>
    <w:rsid w:val="008D42E5"/>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24E"/>
    <w:rsid w:val="008F788F"/>
    <w:rsid w:val="008F7EA2"/>
    <w:rsid w:val="00900A7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6774D"/>
    <w:rsid w:val="00970CDC"/>
    <w:rsid w:val="00971067"/>
    <w:rsid w:val="00977010"/>
    <w:rsid w:val="00977D02"/>
    <w:rsid w:val="009809BB"/>
    <w:rsid w:val="0098364B"/>
    <w:rsid w:val="009911AF"/>
    <w:rsid w:val="00991875"/>
    <w:rsid w:val="00991F92"/>
    <w:rsid w:val="00992985"/>
    <w:rsid w:val="00993889"/>
    <w:rsid w:val="0099551B"/>
    <w:rsid w:val="00997685"/>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4F30"/>
    <w:rsid w:val="009C5070"/>
    <w:rsid w:val="009D112C"/>
    <w:rsid w:val="009D351C"/>
    <w:rsid w:val="009D47FA"/>
    <w:rsid w:val="009D4C5B"/>
    <w:rsid w:val="009D50D2"/>
    <w:rsid w:val="009D6BCA"/>
    <w:rsid w:val="009E0F62"/>
    <w:rsid w:val="009E4A58"/>
    <w:rsid w:val="009E5A2D"/>
    <w:rsid w:val="009E5AB2"/>
    <w:rsid w:val="009E6219"/>
    <w:rsid w:val="009E724B"/>
    <w:rsid w:val="009F03B3"/>
    <w:rsid w:val="009F45EA"/>
    <w:rsid w:val="00A0096C"/>
    <w:rsid w:val="00A01605"/>
    <w:rsid w:val="00A01757"/>
    <w:rsid w:val="00A01BC5"/>
    <w:rsid w:val="00A028C0"/>
    <w:rsid w:val="00A02BAE"/>
    <w:rsid w:val="00A06A6B"/>
    <w:rsid w:val="00A07E47"/>
    <w:rsid w:val="00A129D0"/>
    <w:rsid w:val="00A12C33"/>
    <w:rsid w:val="00A138BA"/>
    <w:rsid w:val="00A13A7C"/>
    <w:rsid w:val="00A14C8E"/>
    <w:rsid w:val="00A153D9"/>
    <w:rsid w:val="00A15F09"/>
    <w:rsid w:val="00A169B6"/>
    <w:rsid w:val="00A2271D"/>
    <w:rsid w:val="00A237D5"/>
    <w:rsid w:val="00A26369"/>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834"/>
    <w:rsid w:val="00A53163"/>
    <w:rsid w:val="00A55BD6"/>
    <w:rsid w:val="00A55D50"/>
    <w:rsid w:val="00A57142"/>
    <w:rsid w:val="00A648CD"/>
    <w:rsid w:val="00A6537A"/>
    <w:rsid w:val="00A67866"/>
    <w:rsid w:val="00A70B07"/>
    <w:rsid w:val="00A723F8"/>
    <w:rsid w:val="00A77CCB"/>
    <w:rsid w:val="00A83D8D"/>
    <w:rsid w:val="00A8446B"/>
    <w:rsid w:val="00A8473F"/>
    <w:rsid w:val="00A8548C"/>
    <w:rsid w:val="00A858F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3F"/>
    <w:rsid w:val="00AC5DF4"/>
    <w:rsid w:val="00AD0AEF"/>
    <w:rsid w:val="00AD11B7"/>
    <w:rsid w:val="00AD1A94"/>
    <w:rsid w:val="00AD1C05"/>
    <w:rsid w:val="00AD4126"/>
    <w:rsid w:val="00AD421C"/>
    <w:rsid w:val="00AD44FA"/>
    <w:rsid w:val="00AE070A"/>
    <w:rsid w:val="00AE101C"/>
    <w:rsid w:val="00AE37E5"/>
    <w:rsid w:val="00AE5EB4"/>
    <w:rsid w:val="00AF0C18"/>
    <w:rsid w:val="00AF421E"/>
    <w:rsid w:val="00AF47C5"/>
    <w:rsid w:val="00AF5398"/>
    <w:rsid w:val="00B049AF"/>
    <w:rsid w:val="00B07242"/>
    <w:rsid w:val="00B10534"/>
    <w:rsid w:val="00B113DB"/>
    <w:rsid w:val="00B119F4"/>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D8A"/>
    <w:rsid w:val="00B4346D"/>
    <w:rsid w:val="00B440F4"/>
    <w:rsid w:val="00B447A5"/>
    <w:rsid w:val="00B4654C"/>
    <w:rsid w:val="00B46AF0"/>
    <w:rsid w:val="00B47293"/>
    <w:rsid w:val="00B50E50"/>
    <w:rsid w:val="00B52120"/>
    <w:rsid w:val="00B54ABC"/>
    <w:rsid w:val="00B54DDE"/>
    <w:rsid w:val="00B56FBE"/>
    <w:rsid w:val="00B60ACF"/>
    <w:rsid w:val="00B60F09"/>
    <w:rsid w:val="00B62B58"/>
    <w:rsid w:val="00B65149"/>
    <w:rsid w:val="00B66567"/>
    <w:rsid w:val="00B66F52"/>
    <w:rsid w:val="00B66FE5"/>
    <w:rsid w:val="00B72880"/>
    <w:rsid w:val="00B758BF"/>
    <w:rsid w:val="00B77EC8"/>
    <w:rsid w:val="00B827A6"/>
    <w:rsid w:val="00B831CE"/>
    <w:rsid w:val="00B85C4C"/>
    <w:rsid w:val="00B86677"/>
    <w:rsid w:val="00B87131"/>
    <w:rsid w:val="00B917A7"/>
    <w:rsid w:val="00B939B1"/>
    <w:rsid w:val="00B96D40"/>
    <w:rsid w:val="00B97386"/>
    <w:rsid w:val="00BA263B"/>
    <w:rsid w:val="00BA3FA9"/>
    <w:rsid w:val="00BA42B2"/>
    <w:rsid w:val="00BA58D4"/>
    <w:rsid w:val="00BA5B9E"/>
    <w:rsid w:val="00BA7C9A"/>
    <w:rsid w:val="00BB0D24"/>
    <w:rsid w:val="00BB203B"/>
    <w:rsid w:val="00BB5F8F"/>
    <w:rsid w:val="00BB657A"/>
    <w:rsid w:val="00BC1A4E"/>
    <w:rsid w:val="00BC1A7D"/>
    <w:rsid w:val="00BC4790"/>
    <w:rsid w:val="00BC5DC7"/>
    <w:rsid w:val="00BC6B8B"/>
    <w:rsid w:val="00BC73D8"/>
    <w:rsid w:val="00BD52D7"/>
    <w:rsid w:val="00BD5AD2"/>
    <w:rsid w:val="00BD641F"/>
    <w:rsid w:val="00BE22F3"/>
    <w:rsid w:val="00BE2A80"/>
    <w:rsid w:val="00BE5B52"/>
    <w:rsid w:val="00BE7B8D"/>
    <w:rsid w:val="00BF0993"/>
    <w:rsid w:val="00BF10A9"/>
    <w:rsid w:val="00BF1703"/>
    <w:rsid w:val="00BF231C"/>
    <w:rsid w:val="00BF51E5"/>
    <w:rsid w:val="00BF74A6"/>
    <w:rsid w:val="00C012E4"/>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A32"/>
    <w:rsid w:val="00C42130"/>
    <w:rsid w:val="00C423A4"/>
    <w:rsid w:val="00C44BF5"/>
    <w:rsid w:val="00C521D6"/>
    <w:rsid w:val="00C54958"/>
    <w:rsid w:val="00C54994"/>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465"/>
    <w:rsid w:val="00CC08DB"/>
    <w:rsid w:val="00CC090B"/>
    <w:rsid w:val="00CC39FF"/>
    <w:rsid w:val="00CC3C2F"/>
    <w:rsid w:val="00CC4AC8"/>
    <w:rsid w:val="00CC5233"/>
    <w:rsid w:val="00CC5DE6"/>
    <w:rsid w:val="00CC6E4E"/>
    <w:rsid w:val="00CC6FE8"/>
    <w:rsid w:val="00CC70F2"/>
    <w:rsid w:val="00CC7202"/>
    <w:rsid w:val="00CD2808"/>
    <w:rsid w:val="00CD28BF"/>
    <w:rsid w:val="00CD4092"/>
    <w:rsid w:val="00CD4A20"/>
    <w:rsid w:val="00CD50A1"/>
    <w:rsid w:val="00CD519E"/>
    <w:rsid w:val="00CD561D"/>
    <w:rsid w:val="00CE0C4F"/>
    <w:rsid w:val="00CE30EA"/>
    <w:rsid w:val="00CE3200"/>
    <w:rsid w:val="00CF048A"/>
    <w:rsid w:val="00CF0750"/>
    <w:rsid w:val="00CF155A"/>
    <w:rsid w:val="00CF2947"/>
    <w:rsid w:val="00CF686F"/>
    <w:rsid w:val="00CF6E60"/>
    <w:rsid w:val="00CF7BCA"/>
    <w:rsid w:val="00D008FD"/>
    <w:rsid w:val="00D0321C"/>
    <w:rsid w:val="00D035EC"/>
    <w:rsid w:val="00D04D6F"/>
    <w:rsid w:val="00D06AB1"/>
    <w:rsid w:val="00D072ED"/>
    <w:rsid w:val="00D07A16"/>
    <w:rsid w:val="00D1067E"/>
    <w:rsid w:val="00D10F50"/>
    <w:rsid w:val="00D11272"/>
    <w:rsid w:val="00D125BB"/>
    <w:rsid w:val="00D126F5"/>
    <w:rsid w:val="00D1489E"/>
    <w:rsid w:val="00D16E9C"/>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5271"/>
    <w:rsid w:val="00D57014"/>
    <w:rsid w:val="00D6418A"/>
    <w:rsid w:val="00D66846"/>
    <w:rsid w:val="00D675FB"/>
    <w:rsid w:val="00D71F25"/>
    <w:rsid w:val="00D72A9C"/>
    <w:rsid w:val="00D77031"/>
    <w:rsid w:val="00D84941"/>
    <w:rsid w:val="00D84FA1"/>
    <w:rsid w:val="00D851F0"/>
    <w:rsid w:val="00D86DB7"/>
    <w:rsid w:val="00D926D0"/>
    <w:rsid w:val="00D93030"/>
    <w:rsid w:val="00D950E1"/>
    <w:rsid w:val="00D952A6"/>
    <w:rsid w:val="00D968D3"/>
    <w:rsid w:val="00D97F99"/>
    <w:rsid w:val="00DA1E08"/>
    <w:rsid w:val="00DA24F8"/>
    <w:rsid w:val="00DA2538"/>
    <w:rsid w:val="00DA28E8"/>
    <w:rsid w:val="00DA38D3"/>
    <w:rsid w:val="00DA3932"/>
    <w:rsid w:val="00DA3AFC"/>
    <w:rsid w:val="00DA50E2"/>
    <w:rsid w:val="00DA5191"/>
    <w:rsid w:val="00DA64F8"/>
    <w:rsid w:val="00DA6C15"/>
    <w:rsid w:val="00DA7D98"/>
    <w:rsid w:val="00DB0258"/>
    <w:rsid w:val="00DB38EE"/>
    <w:rsid w:val="00DB498B"/>
    <w:rsid w:val="00DB6352"/>
    <w:rsid w:val="00DB66CA"/>
    <w:rsid w:val="00DB6BCA"/>
    <w:rsid w:val="00DB73F7"/>
    <w:rsid w:val="00DC0321"/>
    <w:rsid w:val="00DC3067"/>
    <w:rsid w:val="00DC370B"/>
    <w:rsid w:val="00DC5B90"/>
    <w:rsid w:val="00DC728C"/>
    <w:rsid w:val="00DD00FF"/>
    <w:rsid w:val="00DD0619"/>
    <w:rsid w:val="00DD07FB"/>
    <w:rsid w:val="00DD25C6"/>
    <w:rsid w:val="00DD4FE5"/>
    <w:rsid w:val="00DD54B0"/>
    <w:rsid w:val="00DD57EE"/>
    <w:rsid w:val="00DD6BCC"/>
    <w:rsid w:val="00DE0A4B"/>
    <w:rsid w:val="00DE2410"/>
    <w:rsid w:val="00DE2939"/>
    <w:rsid w:val="00DE29B0"/>
    <w:rsid w:val="00DE34F0"/>
    <w:rsid w:val="00DE6E81"/>
    <w:rsid w:val="00DE703F"/>
    <w:rsid w:val="00DE7595"/>
    <w:rsid w:val="00DF1961"/>
    <w:rsid w:val="00DF44DE"/>
    <w:rsid w:val="00DF5F11"/>
    <w:rsid w:val="00E00B69"/>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6E2"/>
    <w:rsid w:val="00E50D3A"/>
    <w:rsid w:val="00E51387"/>
    <w:rsid w:val="00E51E68"/>
    <w:rsid w:val="00E52EFD"/>
    <w:rsid w:val="00E5408A"/>
    <w:rsid w:val="00E56800"/>
    <w:rsid w:val="00E60C63"/>
    <w:rsid w:val="00E62FF9"/>
    <w:rsid w:val="00E635D6"/>
    <w:rsid w:val="00E639BC"/>
    <w:rsid w:val="00E6524D"/>
    <w:rsid w:val="00E664CC"/>
    <w:rsid w:val="00E70388"/>
    <w:rsid w:val="00E70F92"/>
    <w:rsid w:val="00E74C54"/>
    <w:rsid w:val="00E77A03"/>
    <w:rsid w:val="00E822E8"/>
    <w:rsid w:val="00E82554"/>
    <w:rsid w:val="00E82606"/>
    <w:rsid w:val="00E846C8"/>
    <w:rsid w:val="00E84957"/>
    <w:rsid w:val="00E84A55"/>
    <w:rsid w:val="00E85BFF"/>
    <w:rsid w:val="00E87BBD"/>
    <w:rsid w:val="00E90391"/>
    <w:rsid w:val="00E906C2"/>
    <w:rsid w:val="00E9311F"/>
    <w:rsid w:val="00E934D1"/>
    <w:rsid w:val="00E94AF0"/>
    <w:rsid w:val="00E95D13"/>
    <w:rsid w:val="00E95DD3"/>
    <w:rsid w:val="00E969D5"/>
    <w:rsid w:val="00EA2533"/>
    <w:rsid w:val="00EA58D1"/>
    <w:rsid w:val="00EA61BC"/>
    <w:rsid w:val="00EA681A"/>
    <w:rsid w:val="00EA70E6"/>
    <w:rsid w:val="00EA735B"/>
    <w:rsid w:val="00EB17DE"/>
    <w:rsid w:val="00EB1E69"/>
    <w:rsid w:val="00EB2086"/>
    <w:rsid w:val="00EB5EDF"/>
    <w:rsid w:val="00EB60FE"/>
    <w:rsid w:val="00EB74DB"/>
    <w:rsid w:val="00EC5359"/>
    <w:rsid w:val="00EC562A"/>
    <w:rsid w:val="00ED067A"/>
    <w:rsid w:val="00ED2B50"/>
    <w:rsid w:val="00ED60A9"/>
    <w:rsid w:val="00EE0350"/>
    <w:rsid w:val="00EE0719"/>
    <w:rsid w:val="00EE0E80"/>
    <w:rsid w:val="00EE54A6"/>
    <w:rsid w:val="00EE613F"/>
    <w:rsid w:val="00EE7295"/>
    <w:rsid w:val="00EE7869"/>
    <w:rsid w:val="00EF054A"/>
    <w:rsid w:val="00EF3235"/>
    <w:rsid w:val="00EF7E72"/>
    <w:rsid w:val="00F06B2E"/>
    <w:rsid w:val="00F06D37"/>
    <w:rsid w:val="00F07B9D"/>
    <w:rsid w:val="00F11586"/>
    <w:rsid w:val="00F1183B"/>
    <w:rsid w:val="00F11C9F"/>
    <w:rsid w:val="00F11DCE"/>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096A"/>
    <w:rsid w:val="00F515EE"/>
    <w:rsid w:val="00F56511"/>
    <w:rsid w:val="00F6194E"/>
    <w:rsid w:val="00F623AC"/>
    <w:rsid w:val="00F6412A"/>
    <w:rsid w:val="00F65893"/>
    <w:rsid w:val="00F66A4A"/>
    <w:rsid w:val="00F66B63"/>
    <w:rsid w:val="00F66C68"/>
    <w:rsid w:val="00F71E22"/>
    <w:rsid w:val="00F72142"/>
    <w:rsid w:val="00F72AE7"/>
    <w:rsid w:val="00F81141"/>
    <w:rsid w:val="00F833BA"/>
    <w:rsid w:val="00F84FD0"/>
    <w:rsid w:val="00F859A8"/>
    <w:rsid w:val="00F86D87"/>
    <w:rsid w:val="00F9108B"/>
    <w:rsid w:val="00F91349"/>
    <w:rsid w:val="00F9268C"/>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78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CF"/>
    <w:rsid w:val="00FF73F4"/>
    <w:rsid w:val="00FF7CE4"/>
    <w:rsid w:val="00FF7E39"/>
    <w:rsid w:val="072F4F4B"/>
    <w:rsid w:val="09622C8A"/>
    <w:rsid w:val="0AEE6ECB"/>
    <w:rsid w:val="0B776EC0"/>
    <w:rsid w:val="0E811E04"/>
    <w:rsid w:val="102B64CB"/>
    <w:rsid w:val="10687AE0"/>
    <w:rsid w:val="1ABC48F0"/>
    <w:rsid w:val="1BCF41AF"/>
    <w:rsid w:val="1BD163B0"/>
    <w:rsid w:val="20AE5E2D"/>
    <w:rsid w:val="21004E0A"/>
    <w:rsid w:val="26F80D24"/>
    <w:rsid w:val="27194E78"/>
    <w:rsid w:val="284D5B5A"/>
    <w:rsid w:val="28A40771"/>
    <w:rsid w:val="29235B3A"/>
    <w:rsid w:val="2F0F103A"/>
    <w:rsid w:val="356814A4"/>
    <w:rsid w:val="3C814BF9"/>
    <w:rsid w:val="3CD411CD"/>
    <w:rsid w:val="3F285800"/>
    <w:rsid w:val="43A37B4B"/>
    <w:rsid w:val="441B3B85"/>
    <w:rsid w:val="44D2693A"/>
    <w:rsid w:val="452A0524"/>
    <w:rsid w:val="460C0745"/>
    <w:rsid w:val="48224F99"/>
    <w:rsid w:val="485E2293"/>
    <w:rsid w:val="4ABA5EA6"/>
    <w:rsid w:val="4B9A7A86"/>
    <w:rsid w:val="54273E81"/>
    <w:rsid w:val="5E135BA1"/>
    <w:rsid w:val="5EE27322"/>
    <w:rsid w:val="602816AC"/>
    <w:rsid w:val="64191A38"/>
    <w:rsid w:val="65556AA0"/>
    <w:rsid w:val="677B47B7"/>
    <w:rsid w:val="6AB778B5"/>
    <w:rsid w:val="6BAD1237"/>
    <w:rsid w:val="6F506398"/>
    <w:rsid w:val="72737279"/>
    <w:rsid w:val="73836ECE"/>
    <w:rsid w:val="74A215D5"/>
    <w:rsid w:val="787930AD"/>
    <w:rsid w:val="79A669E4"/>
    <w:rsid w:val="79D51B05"/>
    <w:rsid w:val="7CCC3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b/>
      <w:bCs/>
      <w:kern w:val="44"/>
      <w:sz w:val="44"/>
      <w:szCs w:val="44"/>
    </w:rPr>
  </w:style>
  <w:style w:type="character" w:customStyle="1" w:styleId="35">
    <w:name w:val="标题 2 字符"/>
    <w:link w:val="3"/>
    <w:autoRedefine/>
    <w:qFormat/>
    <w:uiPriority w:val="0"/>
    <w:rPr>
      <w:rFonts w:ascii="Arial" w:hAnsi="Arial" w:eastAsia="黑体"/>
      <w:b/>
      <w:bCs/>
      <w:kern w:val="2"/>
      <w:sz w:val="32"/>
      <w:szCs w:val="32"/>
    </w:rPr>
  </w:style>
  <w:style w:type="character" w:customStyle="1" w:styleId="36">
    <w:name w:val="标题 3 字符"/>
    <w:link w:val="4"/>
    <w:autoRedefine/>
    <w:qFormat/>
    <w:uiPriority w:val="0"/>
    <w:rPr>
      <w:b/>
      <w:bCs/>
      <w:kern w:val="2"/>
      <w:sz w:val="32"/>
      <w:szCs w:val="32"/>
    </w:rPr>
  </w:style>
  <w:style w:type="character" w:customStyle="1" w:styleId="37">
    <w:name w:val="标题 4 字符"/>
    <w:link w:val="5"/>
    <w:autoRedefine/>
    <w:qFormat/>
    <w:uiPriority w:val="0"/>
    <w:rPr>
      <w:rFonts w:ascii="Arial" w:hAnsi="Arial" w:eastAsia="黑体"/>
      <w:b/>
      <w:bCs/>
      <w:kern w:val="2"/>
      <w:sz w:val="28"/>
      <w:szCs w:val="28"/>
    </w:rPr>
  </w:style>
  <w:style w:type="character" w:customStyle="1" w:styleId="38">
    <w:name w:val="标题 5 字符"/>
    <w:link w:val="6"/>
    <w:autoRedefine/>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uiPriority w:val="0"/>
    <w:rPr>
      <w:rFonts w:ascii="黑体" w:eastAsia="黑体"/>
      <w:spacing w:val="85"/>
      <w:w w:val="100"/>
      <w:position w:val="3"/>
      <w:sz w:val="28"/>
      <w:szCs w:val="28"/>
    </w:rPr>
  </w:style>
  <w:style w:type="paragraph" w:customStyle="1" w:styleId="230">
    <w:name w:val="正文1"/>
    <w:autoRedefine/>
    <w:qFormat/>
    <w:uiPriority w:val="0"/>
    <w:pPr>
      <w:jc w:val="both"/>
    </w:pPr>
    <w:rPr>
      <w:rFonts w:ascii="Calibri" w:hAnsi="Calibri" w:eastAsia="宋体" w:cs="Calibri"/>
      <w:kern w:val="2"/>
      <w:sz w:val="21"/>
      <w:szCs w:val="21"/>
      <w:lang w:val="en-US" w:eastAsia="zh-CN" w:bidi="ar-SA"/>
    </w:rPr>
  </w:style>
  <w:style w:type="paragraph" w:customStyle="1" w:styleId="231">
    <w:name w:val="Table Paragraph"/>
    <w:basedOn w:val="1"/>
    <w:autoRedefine/>
    <w:qFormat/>
    <w:uiPriority w:val="0"/>
    <w:pPr>
      <w:autoSpaceDE w:val="0"/>
      <w:autoSpaceDN w:val="0"/>
      <w:jc w:val="left"/>
    </w:pPr>
    <w:rPr>
      <w:rFonts w:ascii="Noto Sans CJK HK" w:hAnsi="Noto Sans CJK HK" w:cs="宋体"/>
      <w:kern w:val="0"/>
      <w:sz w:val="22"/>
      <w:szCs w:val="22"/>
    </w:rPr>
  </w:style>
  <w:style w:type="paragraph" w:customStyle="1" w:styleId="232">
    <w:name w:val="正文2"/>
    <w:autoRedefine/>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8C24ADB9B44C488D120AF50CAF6107"/>
        <w:style w:val=""/>
        <w:category>
          <w:name w:val="常规"/>
          <w:gallery w:val="placeholder"/>
        </w:category>
        <w:types>
          <w:type w:val="bbPlcHdr"/>
        </w:types>
        <w:behaviors>
          <w:behavior w:val="content"/>
        </w:behaviors>
        <w:description w:val=""/>
        <w:guid w:val="{9C74BA50-09C9-41AE-8B21-1782BA9B0C01}"/>
      </w:docPartPr>
      <w:docPartBody>
        <w:p w14:paraId="0759D9A9">
          <w:pPr>
            <w:pStyle w:val="5"/>
          </w:pPr>
          <w:r>
            <w:rPr>
              <w:rStyle w:val="4"/>
              <w:rFonts w:hint="eastAsia"/>
            </w:rPr>
            <w:t>单击或点击此处输入文字。</w:t>
          </w:r>
        </w:p>
      </w:docPartBody>
    </w:docPart>
    <w:docPart>
      <w:docPartPr>
        <w:name w:val="D0FC7EA92F6A4ABDB79881E8A63A8A7D"/>
        <w:style w:val=""/>
        <w:category>
          <w:name w:val="常规"/>
          <w:gallery w:val="placeholder"/>
        </w:category>
        <w:types>
          <w:type w:val="bbPlcHdr"/>
        </w:types>
        <w:behaviors>
          <w:behavior w:val="content"/>
        </w:behaviors>
        <w:description w:val=""/>
        <w:guid w:val="{CBC988B2-DAAD-4E90-889B-9B63DFD46F0B}"/>
      </w:docPartPr>
      <w:docPartBody>
        <w:p w14:paraId="7AEB09A4">
          <w:pPr>
            <w:pStyle w:val="6"/>
          </w:pPr>
          <w:r>
            <w:rPr>
              <w:rStyle w:val="4"/>
              <w:rFonts w:hint="eastAsia"/>
            </w:rPr>
            <w:t>选择一项。</w:t>
          </w:r>
        </w:p>
      </w:docPartBody>
    </w:docPart>
    <w:docPart>
      <w:docPartPr>
        <w:name w:val="5EE90796A43D4ECDBE58A03E85AFDC4A"/>
        <w:style w:val=""/>
        <w:category>
          <w:name w:val="常规"/>
          <w:gallery w:val="placeholder"/>
        </w:category>
        <w:types>
          <w:type w:val="bbPlcHdr"/>
        </w:types>
        <w:behaviors>
          <w:behavior w:val="content"/>
        </w:behaviors>
        <w:description w:val=""/>
        <w:guid w:val="{D013F8AA-1993-4E4B-834E-708181673549}"/>
      </w:docPartPr>
      <w:docPartBody>
        <w:p w14:paraId="72F21D7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B9C"/>
    <w:rsid w:val="0002119D"/>
    <w:rsid w:val="001077AF"/>
    <w:rsid w:val="00283FE2"/>
    <w:rsid w:val="003077DF"/>
    <w:rsid w:val="003D7926"/>
    <w:rsid w:val="0041118D"/>
    <w:rsid w:val="00450E00"/>
    <w:rsid w:val="00536EAB"/>
    <w:rsid w:val="005B7652"/>
    <w:rsid w:val="006370A0"/>
    <w:rsid w:val="006E7441"/>
    <w:rsid w:val="006F44FA"/>
    <w:rsid w:val="0072076B"/>
    <w:rsid w:val="00747B62"/>
    <w:rsid w:val="00762C6D"/>
    <w:rsid w:val="00993E73"/>
    <w:rsid w:val="00997685"/>
    <w:rsid w:val="009C6B9C"/>
    <w:rsid w:val="009E3BAC"/>
    <w:rsid w:val="00A6536B"/>
    <w:rsid w:val="00A858FF"/>
    <w:rsid w:val="00BB04B1"/>
    <w:rsid w:val="00BE2A80"/>
    <w:rsid w:val="00C6683D"/>
    <w:rsid w:val="00EC2948"/>
    <w:rsid w:val="00F63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8C24ADB9B44C488D120AF50CAF610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D0FC7EA92F6A4ABDB79881E8A63A8A7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5EE90796A43D4ECDBE58A03E85AFDC4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1942</Words>
  <Characters>2272</Characters>
  <Lines>19</Lines>
  <Paragraphs>5</Paragraphs>
  <TotalTime>62</TotalTime>
  <ScaleCrop>false</ScaleCrop>
  <LinksUpToDate>false</LinksUpToDate>
  <CharactersWithSpaces>2409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2024-03-01T08:36:00Z</dcterms:created>
  <dc:creator>admin</dc:creator>
  <dc:description>&lt;config cover="true" show_menu="true" version="1.0.0" doctype="SDKXY"&gt;_x000d_
&lt;/config&gt;</dc:description>
  <cp:lastModifiedBy>Administrator</cp:lastModifiedBy>
  <cp:lastPrinted>2023-11-22T09:03:00Z</cp:lastPrinted>
  <dcterms:modified xsi:type="dcterms:W3CDTF">2024-08-01T08:41:10Z</dcterms:modified>
  <dc:title>地方标准</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2052-12.1.0.17813</vt:lpwstr>
  </property>
  <property fmtid="{D5CDD505-2E9C-101B-9397-08002B2CF9AE}" pid="15" name="ICV">
    <vt:lpwstr>4B4C2C068A14481A9260D2AF69D4F894_13</vt:lpwstr>
  </property>
</Properties>
</file>