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framePr w:vAnchor="page" w:hAnchor="page" w:x="1356" w:y="742"/>
        <w:rPr>
          <w:rFonts w:hAnsi="黑体" w:cs="黑体"/>
        </w:rPr>
      </w:pPr>
      <w:bookmarkStart w:id="0" w:name="_Toc481932913"/>
      <w:r>
        <w:rPr>
          <w:rFonts w:hint="eastAsia" w:hAnsi="黑体" w:cs="黑体"/>
        </w:rPr>
        <w:br w:type="page"/>
      </w:r>
      <w:r>
        <w:rPr>
          <w:rFonts w:hint="eastAsia" w:hAnsi="黑体" w:cs="黑体"/>
        </w:rPr>
        <w:br w:type="page"/>
      </w:r>
      <w:r>
        <w:rPr>
          <w:rFonts w:hint="eastAsia" w:hAnsi="黑体" w:cs="黑体"/>
        </w:rPr>
        <w:t>ICS XXXXXXX</w:t>
      </w:r>
    </w:p>
    <w:p>
      <w:pPr>
        <w:pStyle w:val="26"/>
        <w:framePr w:vAnchor="page" w:hAnchor="page" w:x="1356" w:y="742"/>
        <w:rPr>
          <w:rFonts w:hAnsi="黑体" w:cs="黑体"/>
        </w:rPr>
      </w:pPr>
      <w:r>
        <w:rPr>
          <w:rFonts w:hint="eastAsia" w:hAnsi="黑体" w:cs="黑体"/>
        </w:rPr>
        <w:t>CCS XXXX</w:t>
      </w:r>
    </w:p>
    <w:p>
      <w:pPr>
        <w:pStyle w:val="27"/>
        <w:framePr w:w="3513" w:x="7260"/>
        <w:jc w:val="center"/>
        <w:rPr>
          <w:sz w:val="44"/>
          <w:szCs w:val="44"/>
        </w:rPr>
      </w:pPr>
      <w:r>
        <w:rPr>
          <w:rFonts w:hint="eastAsia" w:ascii="黑体" w:hAnsi="黑体" w:eastAsia="黑体" w:cs="黑体"/>
          <w:b w:val="0"/>
          <w:bCs/>
          <w:sz w:val="84"/>
          <w:szCs w:val="84"/>
        </w:rPr>
        <w:t>DBXX</w:t>
      </w:r>
    </w:p>
    <w:p>
      <w:pPr>
        <w:pStyle w:val="29"/>
        <w:framePr/>
        <w:rPr>
          <w:sz w:val="44"/>
          <w:szCs w:val="44"/>
        </w:rPr>
      </w:pPr>
      <w:r>
        <w:rPr>
          <w:rFonts w:hint="eastAsia" w:ascii="专用字" w:hAnsi="专用字" w:cs="专用字"/>
          <w:sz w:val="44"/>
          <w:szCs w:val="44"/>
        </w:rPr>
        <w:t>巴彦淖尔市</w:t>
      </w:r>
      <w:r>
        <w:rPr>
          <w:rFonts w:ascii="专用字" w:hAnsi="专用字" w:cs="专用字"/>
          <w:sz w:val="44"/>
          <w:szCs w:val="44"/>
        </w:rPr>
        <w:t>地方标准</w:t>
      </w:r>
    </w:p>
    <w:p>
      <w:pPr>
        <w:pStyle w:val="30"/>
        <w:framePr w:x="1355" w:y="3197"/>
        <w:rPr>
          <w:rFonts w:hAnsi="黑体" w:cs="黑体"/>
        </w:rPr>
      </w:pPr>
      <w:r>
        <w:rPr>
          <w:rFonts w:hint="eastAsia" w:hAnsi="黑体" w:cs="黑体"/>
        </w:rPr>
        <w:t>DBXX/TXXX—XXXX</w:t>
      </w:r>
    </w:p>
    <w:p>
      <w:pPr>
        <w:pStyle w:val="30"/>
        <w:framePr w:x="1355" w:y="3197"/>
        <w:rPr>
          <w:rFonts w:hAnsi="黑体"/>
          <w:sz w:val="44"/>
          <w:szCs w:val="44"/>
        </w:rPr>
      </w:pPr>
    </w:p>
    <w:p>
      <w:pPr>
        <w:pStyle w:val="30"/>
        <w:framePr w:x="1355" w:y="3197"/>
        <w:rPr>
          <w:rFonts w:hAnsi="黑体"/>
          <w:sz w:val="44"/>
          <w:szCs w:val="44"/>
        </w:rPr>
      </w:pPr>
    </w:p>
    <w:p>
      <w:pPr>
        <w:pStyle w:val="32"/>
        <w:framePr w:h="2242" w:hRule="exact" w:x="1244" w:y="6270"/>
        <w:rPr>
          <w:sz w:val="44"/>
          <w:szCs w:val="44"/>
        </w:rPr>
      </w:pPr>
      <w:r>
        <w:rPr>
          <w:rFonts w:hint="eastAsia"/>
          <w:szCs w:val="52"/>
        </w:rPr>
        <w:t>明渠超声波测流工程技术规范</w:t>
      </w:r>
    </w:p>
    <w:tbl>
      <w:tblPr>
        <w:tblStyle w:val="13"/>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855" w:type="dxa"/>
            <w:tcBorders>
              <w:top w:val="nil"/>
              <w:left w:val="nil"/>
              <w:bottom w:val="nil"/>
              <w:right w:val="nil"/>
            </w:tcBorders>
          </w:tcPr>
          <w:p>
            <w:pPr>
              <w:pStyle w:val="35"/>
              <w:framePr w:h="2242" w:hRule="exact" w:x="1244" w:y="6270"/>
              <w:spacing w:before="200" w:after="0"/>
              <w:rPr>
                <w:sz w:val="44"/>
                <w:szCs w:val="44"/>
              </w:rPr>
            </w:pPr>
            <w:r>
              <w:rPr>
                <w:rFonts w:hint="eastAsia" w:ascii="黑体" w:hAnsi="黑体" w:eastAsia="黑体" w:cs="黑体"/>
                <w:sz w:val="28"/>
              </w:rPr>
              <w:t>（</w:t>
            </w:r>
            <w:r>
              <w:rPr>
                <w:rFonts w:hint="eastAsia" w:ascii="黑体" w:hAnsi="黑体" w:eastAsia="黑体" w:cs="黑体"/>
                <w:sz w:val="28"/>
                <w:lang w:eastAsia="zh-CN"/>
              </w:rPr>
              <w:t>修订</w:t>
            </w:r>
            <w:r>
              <w:rPr>
                <w:rFonts w:hint="eastAsia" w:ascii="黑体" w:hAnsi="黑体" w:eastAsia="黑体" w:cs="黑体"/>
                <w:sz w:val="28"/>
              </w:rPr>
              <w:t>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36"/>
              <w:framePr w:h="2242" w:hRule="exact" w:x="1244" w:y="6270"/>
              <w:rPr>
                <w:sz w:val="44"/>
                <w:szCs w:val="44"/>
              </w:rPr>
            </w:pPr>
          </w:p>
        </w:tc>
      </w:tr>
    </w:tbl>
    <w:p>
      <w:pPr>
        <w:pStyle w:val="39"/>
        <w:framePr w:w="9085" w:h="808" w:hRule="exact" w:hAnchor="page" w:x="1656" w:y="14195"/>
        <w:jc w:val="center"/>
        <w:rPr>
          <w:sz w:val="44"/>
          <w:szCs w:val="44"/>
          <w:u w:val="single"/>
        </w:rPr>
      </w:pPr>
      <w:r>
        <w:rPr>
          <w:rFonts w:hint="eastAsia" w:ascii="黑体"/>
          <w:szCs w:val="28"/>
          <w:u w:val="single"/>
        </w:rPr>
        <w:t>2024</w:t>
      </w:r>
      <w:r>
        <w:rPr>
          <w:rFonts w:ascii="黑体"/>
          <w:szCs w:val="28"/>
          <w:u w:val="single"/>
        </w:rPr>
        <w:t>-</w:t>
      </w:r>
      <w:r>
        <w:rPr>
          <w:rFonts w:hint="eastAsia" w:ascii="黑体"/>
          <w:szCs w:val="28"/>
          <w:u w:val="single"/>
        </w:rPr>
        <w:t>XX</w:t>
      </w:r>
      <w:r>
        <w:rPr>
          <w:rFonts w:ascii="黑体"/>
          <w:szCs w:val="28"/>
          <w:u w:val="single"/>
        </w:rPr>
        <w:t>-</w:t>
      </w:r>
      <w:r>
        <w:rPr>
          <w:rFonts w:hint="eastAsia" w:ascii="黑体"/>
          <w:szCs w:val="28"/>
          <w:u w:val="single"/>
        </w:rPr>
        <w:t>XX</w:t>
      </w:r>
      <w:r>
        <w:rPr>
          <w:rFonts w:hint="eastAsia"/>
          <w:szCs w:val="28"/>
          <w:u w:val="single"/>
        </w:rPr>
        <w:t>发布</w:t>
      </w:r>
      <w:bookmarkStart w:id="1" w:name="SY"/>
      <w:r>
        <w:rPr>
          <w:rFonts w:hint="eastAsia"/>
          <w:szCs w:val="28"/>
          <w:u w:val="single"/>
        </w:rPr>
        <w:t xml:space="preserve">        </w:t>
      </w:r>
      <w:bookmarkEnd w:id="1"/>
      <w:r>
        <w:rPr>
          <w:rFonts w:hint="eastAsia"/>
          <w:szCs w:val="28"/>
          <w:u w:val="single"/>
        </w:rPr>
        <w:t xml:space="preserve">                       </w:t>
      </w:r>
      <w:r>
        <w:rPr>
          <w:szCs w:val="28"/>
          <w:u w:val="single"/>
        </w:rPr>
        <w:t xml:space="preserve"> </w:t>
      </w:r>
      <w:r>
        <w:rPr>
          <w:rFonts w:hint="eastAsia"/>
          <w:szCs w:val="28"/>
          <w:u w:val="single"/>
        </w:rPr>
        <w:t xml:space="preserve">  </w:t>
      </w:r>
      <w:r>
        <w:rPr>
          <w:rFonts w:hint="eastAsia" w:ascii="黑体"/>
          <w:szCs w:val="28"/>
          <w:u w:val="single"/>
        </w:rPr>
        <w:t>2024</w:t>
      </w:r>
      <w:r>
        <w:rPr>
          <w:szCs w:val="28"/>
          <w:u w:val="single"/>
        </w:rPr>
        <w:t xml:space="preserve"> </w:t>
      </w:r>
      <w:r>
        <w:rPr>
          <w:rFonts w:ascii="黑体"/>
          <w:szCs w:val="28"/>
          <w:u w:val="single"/>
        </w:rPr>
        <w:t>-</w:t>
      </w:r>
      <w:r>
        <w:rPr>
          <w:szCs w:val="28"/>
          <w:u w:val="single"/>
        </w:rPr>
        <w:t xml:space="preserve"> </w:t>
      </w:r>
      <w:r>
        <w:rPr>
          <w:rFonts w:hint="eastAsia" w:ascii="黑体"/>
          <w:szCs w:val="28"/>
          <w:u w:val="single"/>
        </w:rPr>
        <w:t>XX</w:t>
      </w:r>
      <w:r>
        <w:rPr>
          <w:rFonts w:ascii="黑体"/>
          <w:szCs w:val="28"/>
          <w:u w:val="single"/>
        </w:rPr>
        <w:t>-</w:t>
      </w:r>
      <w:r>
        <w:rPr>
          <w:szCs w:val="28"/>
          <w:u w:val="single"/>
        </w:rPr>
        <w:t xml:space="preserve"> </w:t>
      </w:r>
      <w:r>
        <w:rPr>
          <w:rFonts w:hint="eastAsia" w:ascii="黑体"/>
          <w:szCs w:val="28"/>
          <w:u w:val="single"/>
        </w:rPr>
        <w:t>XX</w:t>
      </w:r>
      <w:r>
        <w:rPr>
          <w:rFonts w:hint="eastAsia"/>
          <w:szCs w:val="28"/>
          <w:u w:val="single"/>
        </w:rPr>
        <w:t>实施</w:t>
      </w:r>
    </w:p>
    <w:p>
      <w:pPr>
        <w:pStyle w:val="41"/>
        <w:framePr w:w="7114" w:h="584" w:hRule="exact" w:x="2292" w:y="15060"/>
        <w:rPr>
          <w:rStyle w:val="43"/>
          <w:sz w:val="44"/>
          <w:szCs w:val="44"/>
        </w:rPr>
      </w:pPr>
      <w:bookmarkStart w:id="2" w:name="fm"/>
      <w:r>
        <w:rPr>
          <w:sz w:val="44"/>
        </w:rPr>
        <mc:AlternateContent>
          <mc:Choice Requires="wps">
            <w:drawing>
              <wp:anchor distT="0" distB="0" distL="114300" distR="114300" simplePos="0" relativeHeight="251661312" behindDoc="0" locked="0" layoutInCell="1" allowOverlap="1">
                <wp:simplePos x="0" y="0"/>
                <wp:positionH relativeFrom="column">
                  <wp:posOffset>-521335</wp:posOffset>
                </wp:positionH>
                <wp:positionV relativeFrom="paragraph">
                  <wp:posOffset>-6694805</wp:posOffset>
                </wp:positionV>
                <wp:extent cx="5957570" cy="0"/>
                <wp:effectExtent l="0" t="0" r="24130" b="19050"/>
                <wp:wrapNone/>
                <wp:docPr id="1" name="直接连接符 1"/>
                <wp:cNvGraphicFramePr/>
                <a:graphic xmlns:a="http://schemas.openxmlformats.org/drawingml/2006/main">
                  <a:graphicData uri="http://schemas.microsoft.com/office/word/2010/wordprocessingShape">
                    <wps:wsp>
                      <wps:cNvCnPr/>
                      <wps:spPr>
                        <a:xfrm>
                          <a:off x="0" y="0"/>
                          <a:ext cx="5957570"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1.05pt;margin-top:-527.15pt;height:0pt;width:469.1pt;z-index:251661312;mso-width-relative:page;mso-height-relative:page;" filled="f" stroked="t" coordsize="21600,21600" o:gfxdata="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1PNvUNkAAAAPAQAADwAAAAAAAAABACAAAAAiAAAAZHJzL2Rv&#10;d25yZXYueG1sUEsBAhQAFAAAAAgAh07iQLWXxfHHAQAAYwMAAA4AAAAAAAAAAQAgAAAAKAEAAGRy&#10;cy9lMm9Eb2MueG1sUEsFBgAAAAAGAAYAWQEAAGEFAAAAAA==&#10;">
                <v:fill on="f" focussize="0,0"/>
                <v:stroke color="#000000 [3213]" miterlimit="8" joinstyle="miter"/>
                <v:imagedata o:title=""/>
                <o:lock v:ext="edit" aspectratio="f"/>
              </v:line>
            </w:pict>
          </mc:Fallback>
        </mc:AlternateContent>
      </w:r>
      <w:r>
        <w:rPr>
          <w:rFonts w:ascii="专用字" w:hAnsi="专用字" w:cs="专用字"/>
          <w:w w:val="100"/>
          <w:szCs w:val="28"/>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6" name="矩形 6"/>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Pm17tbZAAAADQEAAA8AAAAAAAAAAQAgAAAA&#10;IgAAAGRycy9kb3ducmV2LnhtbFBLAQIUABQAAAAIAIdO4kBsF92xmAEAABwDAAAOAAAAAAAAAAEA&#10;IAAAACgBAABkcnMvZTJvRG9jLnhtbFBLBQYAAAAABgAGAFkBAAAyBQAAAAA=&#10;">
                <v:fill on="t" focussize="0,0"/>
                <v:stroke on="f"/>
                <v:imagedata o:title=""/>
                <o:lock v:ext="edit" aspectratio="f"/>
                <v:textbox>
                  <w:txbxContent>
                    <w:p>
                      <w:pPr>
                        <w:jc w:val="center"/>
                      </w:pPr>
                    </w:p>
                  </w:txbxContent>
                </v:textbox>
              </v:rect>
            </w:pict>
          </mc:Fallback>
        </mc:AlternateContent>
      </w:r>
      <w:r>
        <w:rPr>
          <w:rFonts w:ascii="专用字" w:hAnsi="专用字" w:cs="专用字"/>
          <w:w w:val="100"/>
          <w:szCs w:val="28"/>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8" name="矩形 8"/>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fyYoR2gAAAA8BAAAPAAAAAAAAAAEAIAAA&#10;ACIAAABkcnMvZG93bnJldi54bWxQSwECFAAUAAAACACHTuJAJ5Ii1pgBAAAcAwAADgAAAAAAAAAB&#10;ACAAAAApAQAAZHJzL2Uyb0RvYy54bWxQSwUGAAAAAAYABgBZAQAAMwUAAAAA&#10;">
                <v:fill on="t" focussize="0,0"/>
                <v:stroke on="f"/>
                <v:imagedata o:title=""/>
                <o:lock v:ext="edit" aspectratio="f"/>
                <v:textbox>
                  <w:txbxContent>
                    <w:p>
                      <w:pPr>
                        <w:jc w:val="center"/>
                      </w:pPr>
                    </w:p>
                  </w:txbxContent>
                </v:textbox>
              </v:rect>
            </w:pict>
          </mc:Fallback>
        </mc:AlternateContent>
      </w:r>
      <w:bookmarkEnd w:id="2"/>
      <w:r>
        <w:rPr>
          <w:rFonts w:hint="eastAsia" w:ascii="专用字" w:hAnsi="专用字" w:cs="专用字"/>
          <w:w w:val="100"/>
          <w:szCs w:val="28"/>
        </w:rPr>
        <w:t>巴彦淖尔市</w:t>
      </w:r>
      <w:r>
        <w:rPr>
          <w:rFonts w:ascii="专用字" w:hAnsi="专用字" w:cs="专用字"/>
          <w:w w:val="100"/>
          <w:szCs w:val="28"/>
        </w:rPr>
        <w:t>市场监督管理局</w:t>
      </w:r>
      <w:r>
        <w:rPr>
          <w:rFonts w:hint="eastAsia"/>
          <w:w w:val="100"/>
          <w:szCs w:val="28"/>
        </w:rPr>
        <w:t xml:space="preserve">  发布</w:t>
      </w:r>
    </w:p>
    <w:p>
      <w:pPr>
        <w:pStyle w:val="41"/>
        <w:framePr w:w="7114" w:h="584" w:hRule="exact" w:x="2292" w:y="15060"/>
        <w:jc w:val="both"/>
        <w:rPr>
          <w:rStyle w:val="43"/>
          <w:sz w:val="44"/>
          <w:szCs w:val="44"/>
        </w:rPr>
      </w:pPr>
    </w:p>
    <w:p>
      <w:pPr>
        <w:pStyle w:val="41"/>
        <w:framePr w:w="7114" w:h="584" w:hRule="exact" w:x="2292" w:y="15060"/>
        <w:jc w:val="both"/>
        <w:rPr>
          <w:rStyle w:val="43"/>
          <w:sz w:val="44"/>
          <w:szCs w:val="44"/>
        </w:rPr>
      </w:pPr>
    </w:p>
    <w:p>
      <w:pPr>
        <w:pStyle w:val="41"/>
        <w:framePr w:w="7114" w:h="584" w:hRule="exact" w:x="2292" w:y="15060"/>
        <w:jc w:val="both"/>
        <w:rPr>
          <w:rStyle w:val="43"/>
          <w:sz w:val="44"/>
          <w:szCs w:val="44"/>
        </w:rPr>
      </w:pPr>
    </w:p>
    <w:p>
      <w:pPr>
        <w:pStyle w:val="41"/>
        <w:framePr w:w="7114" w:h="584" w:hRule="exact" w:x="2292" w:y="15060"/>
        <w:jc w:val="both"/>
        <w:rPr>
          <w:rStyle w:val="43"/>
          <w:sz w:val="44"/>
          <w:szCs w:val="44"/>
        </w:rPr>
      </w:pPr>
    </w:p>
    <w:p>
      <w:pPr>
        <w:pStyle w:val="41"/>
        <w:framePr w:w="7114" w:h="584" w:hRule="exact" w:x="2292" w:y="15060"/>
        <w:jc w:val="both"/>
        <w:rPr>
          <w:rStyle w:val="43"/>
          <w:sz w:val="44"/>
          <w:szCs w:val="44"/>
        </w:rPr>
        <w:sectPr>
          <w:headerReference r:id="rId3" w:type="even"/>
          <w:footerReference r:id="rId4" w:type="even"/>
          <w:pgSz w:w="11906" w:h="16838"/>
          <w:pgMar w:top="567" w:right="1134" w:bottom="1134" w:left="1418" w:header="1418" w:footer="1134" w:gutter="0"/>
          <w:pgNumType w:fmt="upperRoman" w:start="1"/>
          <w:cols w:space="720" w:num="1"/>
          <w:formProt w:val="0"/>
          <w:titlePg/>
          <w:docGrid w:type="lines" w:linePitch="312" w:charSpace="0"/>
        </w:sectPr>
      </w:pPr>
    </w:p>
    <w:bookmarkEnd w:id="0"/>
    <w:p>
      <w:pPr>
        <w:pStyle w:val="24"/>
        <w:spacing w:before="850"/>
        <w:rPr>
          <w:szCs w:val="32"/>
        </w:rPr>
        <w:sectPr>
          <w:footerReference r:id="rId5" w:type="default"/>
          <w:pgSz w:w="11906" w:h="16838"/>
          <w:pgMar w:top="2268" w:right="1800" w:bottom="1440" w:left="1417" w:header="1418" w:footer="1134" w:gutter="0"/>
          <w:pgNumType w:fmt="upperRoman" w:start="1"/>
          <w:cols w:space="720" w:num="1"/>
          <w:formProt w:val="0"/>
          <w:docGrid w:type="lines" w:linePitch="312" w:charSpace="0"/>
        </w:sectPr>
      </w:pPr>
      <w:bookmarkStart w:id="3" w:name="_Toc29980"/>
      <w:bookmarkStart w:id="4" w:name="_Toc26395"/>
    </w:p>
    <w:p>
      <w:pPr>
        <w:pStyle w:val="24"/>
        <w:spacing w:before="850"/>
        <w:rPr>
          <w:szCs w:val="32"/>
        </w:rPr>
      </w:pPr>
      <w:bookmarkStart w:id="5" w:name="_Toc30051"/>
      <w:r>
        <w:rPr>
          <w:rFonts w:hint="eastAsia"/>
          <w:szCs w:val="32"/>
        </w:rPr>
        <w:t>目 次</w:t>
      </w:r>
      <w:bookmarkEnd w:id="3"/>
      <w:bookmarkEnd w:id="4"/>
      <w:bookmarkEnd w:id="5"/>
    </w:p>
    <w:p>
      <w:pPr>
        <w:pStyle w:val="30"/>
        <w:framePr w:w="2518" w:h="599" w:hRule="exact" w:x="7488" w:y="1501"/>
        <w:rPr>
          <w:rFonts w:hAnsi="黑体"/>
          <w:sz w:val="44"/>
          <w:szCs w:val="44"/>
        </w:rPr>
      </w:pPr>
      <w:r>
        <w:rPr>
          <w:rFonts w:hint="eastAsia" w:hAnsi="黑体"/>
          <w:sz w:val="30"/>
          <w:szCs w:val="30"/>
        </w:rPr>
        <w:t>DB</w:t>
      </w:r>
      <w:r>
        <w:rPr>
          <w:rFonts w:hAnsi="黑体"/>
          <w:sz w:val="30"/>
          <w:szCs w:val="30"/>
        </w:rPr>
        <w:t>/</w:t>
      </w:r>
      <w:r>
        <w:rPr>
          <w:rFonts w:hint="eastAsia" w:hAnsi="黑体"/>
          <w:sz w:val="30"/>
          <w:szCs w:val="30"/>
        </w:rPr>
        <w:t>T</w:t>
      </w:r>
      <w:r>
        <w:rPr>
          <w:rFonts w:hint="eastAsia" w:ascii="仿宋" w:hAnsi="仿宋" w:eastAsia="仿宋" w:cs="仿宋"/>
          <w:sz w:val="30"/>
          <w:szCs w:val="30"/>
        </w:rPr>
        <w:t>XXXX—XXXX</w:t>
      </w:r>
    </w:p>
    <w:p>
      <w:pPr>
        <w:pStyle w:val="20"/>
      </w:pPr>
    </w:p>
    <w:sdt>
      <w:sdtPr>
        <w:rPr>
          <w:rFonts w:ascii="宋体" w:hAnsi="宋体"/>
        </w:rPr>
        <w:id w:val="147461721"/>
        <w:docPartObj>
          <w:docPartGallery w:val="Table of Contents"/>
          <w:docPartUnique/>
        </w:docPartObj>
      </w:sdtPr>
      <w:sdtEndPr>
        <w:rPr>
          <w:rFonts w:hint="eastAsia" w:ascii="宋体" w:hAnsi="宋体" w:cs="宋体"/>
          <w:b/>
          <w:szCs w:val="21"/>
        </w:rPr>
      </w:sdtEndPr>
      <w:sdtContent>
        <w:p>
          <w:pPr>
            <w:jc w:val="center"/>
            <w:rPr>
              <w:rFonts w:hint="eastAsia" w:ascii="宋体" w:hAnsi="宋体" w:eastAsia="宋体" w:cs="宋体"/>
              <w:b/>
              <w:kern w:val="2"/>
              <w:sz w:val="21"/>
              <w:szCs w:val="21"/>
              <w:lang w:val="en-US" w:eastAsia="zh-CN" w:bidi="ar-SA"/>
            </w:rPr>
          </w:pPr>
          <w:r>
            <w:rPr>
              <w:rFonts w:hint="eastAsia" w:ascii="宋体" w:hAnsi="宋体" w:cs="宋体"/>
              <w:szCs w:val="21"/>
            </w:rPr>
            <w:fldChar w:fldCharType="begin"/>
          </w:r>
          <w:r>
            <w:rPr>
              <w:rFonts w:hint="eastAsia" w:ascii="宋体" w:hAnsi="宋体" w:cs="宋体"/>
              <w:szCs w:val="21"/>
            </w:rPr>
            <w:instrText xml:space="preserve">TOC \o "1-2" \h \u </w:instrText>
          </w:r>
          <w:r>
            <w:rPr>
              <w:rFonts w:hint="eastAsia" w:ascii="宋体" w:hAnsi="宋体" w:cs="宋体"/>
              <w:szCs w:val="21"/>
            </w:rPr>
            <w:fldChar w:fldCharType="separate"/>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_Toc30051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32"/>
            </w:rPr>
            <w:t>目 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_Toc30051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I</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_Toc32701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32"/>
            </w:rPr>
            <w:t>前 言</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_Toc32701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II</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_Toc28828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1 </w:t>
          </w:r>
          <w:r>
            <w:rPr>
              <w:rFonts w:hint="eastAsia" w:asciiTheme="minorEastAsia" w:hAnsiTheme="minorEastAsia" w:eastAsiaTheme="minorEastAsia" w:cstheme="minorEastAsia"/>
              <w:szCs w:val="21"/>
            </w:rPr>
            <w:t>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_Toc28828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_Toc5737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2 </w:t>
          </w:r>
          <w:r>
            <w:rPr>
              <w:rFonts w:hint="eastAsia" w:asciiTheme="minorEastAsia" w:hAnsiTheme="minorEastAsia" w:eastAsiaTheme="minorEastAsia" w:cstheme="minorEastAsia"/>
              <w:szCs w:val="21"/>
            </w:rPr>
            <w:t>规范性引用文件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_Toc5737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_Toc818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3 </w:t>
          </w:r>
          <w:r>
            <w:rPr>
              <w:rFonts w:hint="eastAsia" w:asciiTheme="minorEastAsia" w:hAnsiTheme="minorEastAsia" w:eastAsiaTheme="minorEastAsia" w:cstheme="minorEastAsia"/>
              <w:szCs w:val="21"/>
            </w:rPr>
            <w:t>术语和定义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_Toc818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_Toc3067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4 </w:t>
          </w:r>
          <w:r>
            <w:rPr>
              <w:rFonts w:hint="eastAsia" w:asciiTheme="minorEastAsia" w:hAnsiTheme="minorEastAsia" w:eastAsiaTheme="minorEastAsia" w:cstheme="minorEastAsia"/>
              <w:szCs w:val="21"/>
            </w:rPr>
            <w:t>工程规划</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_Toc3067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_Toc1829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Theme="minorEastAsia" w:hAnsiTheme="minorEastAsia" w:eastAsiaTheme="minorEastAsia" w:cstheme="minorEastAsia"/>
            </w:rPr>
            <w:t>一般规定</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_Toc1829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_Toc3146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asciiTheme="minorEastAsia" w:hAnsiTheme="minorEastAsia" w:eastAsiaTheme="minorEastAsia" w:cstheme="minorEastAsia"/>
            </w:rPr>
            <w:t>工程级别</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_Toc3146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_Toc13151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4.3 </w:t>
          </w:r>
          <w:r>
            <w:rPr>
              <w:rFonts w:hint="eastAsia" w:asciiTheme="minorEastAsia" w:hAnsiTheme="minorEastAsia" w:eastAsiaTheme="minorEastAsia" w:cstheme="minorEastAsia"/>
            </w:rPr>
            <w:t>基本资料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_Toc13151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_Toc2883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4.4 </w:t>
          </w:r>
          <w:r>
            <w:rPr>
              <w:rFonts w:hint="eastAsia" w:asciiTheme="minorEastAsia" w:hAnsiTheme="minorEastAsia" w:eastAsiaTheme="minorEastAsia" w:cstheme="minorEastAsia"/>
            </w:rPr>
            <w:t>技术要求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_Toc2883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_Toc2592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5 </w:t>
          </w:r>
          <w:r>
            <w:rPr>
              <w:rFonts w:hint="eastAsia" w:asciiTheme="minorEastAsia" w:hAnsiTheme="minorEastAsia" w:eastAsiaTheme="minorEastAsia" w:cstheme="minorEastAsia"/>
              <w:szCs w:val="21"/>
            </w:rPr>
            <w:t>工程设计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_Toc2592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_Toc28705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Theme="minorEastAsia" w:hAnsiTheme="minorEastAsia" w:eastAsiaTheme="minorEastAsia" w:cstheme="minorEastAsia"/>
            </w:rPr>
            <w:t>一般规定</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_Toc28705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_Toc29636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Theme="minorEastAsia" w:hAnsiTheme="minorEastAsia" w:eastAsiaTheme="minorEastAsia" w:cstheme="minorEastAsia"/>
              <w:lang w:val="en-US" w:eastAsia="zh-CN"/>
            </w:rPr>
            <w:t>设备选型</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_Toc29636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_Toc28568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5.3 </w:t>
          </w:r>
          <w:r>
            <w:rPr>
              <w:rFonts w:hint="eastAsia" w:asciiTheme="minorEastAsia" w:hAnsiTheme="minorEastAsia" w:eastAsiaTheme="minorEastAsia" w:cstheme="minorEastAsia"/>
              <w:lang w:val="en-US" w:eastAsia="zh-CN"/>
            </w:rPr>
            <w:t>性能要求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_Toc28568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1"/>
            <w:tabs>
              <w:tab w:val="right" w:leader="dot" w:pos="8689"/>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_Toc12500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5.4 </w:t>
          </w:r>
          <w:r>
            <w:rPr>
              <w:rFonts w:hint="eastAsia" w:asciiTheme="minorEastAsia" w:hAnsiTheme="minorEastAsia" w:eastAsiaTheme="minorEastAsia" w:cstheme="minorEastAsia"/>
              <w:lang w:val="en-US" w:eastAsia="zh-CN"/>
            </w:rPr>
            <w:t>工程布局设计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_Toc12500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_Toc13353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lang w:val="en-US" w:eastAsia="zh-CN"/>
            </w:rPr>
            <w:t xml:space="preserve">6 </w:t>
          </w:r>
          <w:r>
            <w:rPr>
              <w:rFonts w:hint="eastAsia" w:asciiTheme="minorEastAsia" w:hAnsiTheme="minorEastAsia" w:eastAsiaTheme="minorEastAsia" w:cstheme="minorEastAsia"/>
              <w:szCs w:val="21"/>
              <w:lang w:val="en-US" w:eastAsia="zh-CN"/>
            </w:rPr>
            <w:t>建设安装</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_Toc13353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pStyle w:val="10"/>
            <w:tabs>
              <w:tab w:val="right" w:leader="dot" w:pos="8689"/>
              <w:tab w:val="clear" w:pos="9241"/>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_Toc25982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lang w:val="en-US" w:eastAsia="zh-CN"/>
            </w:rPr>
            <w:t xml:space="preserve">7 </w:t>
          </w:r>
          <w:r>
            <w:rPr>
              <w:rFonts w:hint="eastAsia" w:asciiTheme="minorEastAsia" w:hAnsiTheme="minorEastAsia" w:eastAsiaTheme="minorEastAsia" w:cstheme="minorEastAsia"/>
              <w:szCs w:val="21"/>
              <w:lang w:val="en-US" w:eastAsia="zh-CN"/>
            </w:rPr>
            <w:t>运行管理</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_Toc25982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1"/>
            </w:rPr>
            <w:fldChar w:fldCharType="end"/>
          </w:r>
        </w:p>
        <w:p>
          <w:pPr>
            <w:jc w:val="center"/>
            <w:rPr>
              <w:rFonts w:ascii="宋体" w:hAnsi="宋体" w:cs="宋体"/>
              <w:szCs w:val="21"/>
            </w:rPr>
          </w:pPr>
          <w:r>
            <w:rPr>
              <w:rFonts w:hint="eastAsia" w:ascii="宋体" w:hAnsi="宋体" w:cs="宋体"/>
              <w:b/>
              <w:szCs w:val="21"/>
            </w:rPr>
            <w:fldChar w:fldCharType="end"/>
          </w:r>
        </w:p>
      </w:sdtContent>
    </w:sdt>
    <w:p>
      <w:pPr>
        <w:pStyle w:val="24"/>
        <w:spacing w:before="850" w:after="680"/>
        <w:rPr>
          <w:szCs w:val="32"/>
        </w:rPr>
        <w:sectPr>
          <w:footerReference r:id="rId6" w:type="default"/>
          <w:pgSz w:w="11906" w:h="16838"/>
          <w:pgMar w:top="2268" w:right="1800" w:bottom="1440" w:left="1417" w:header="1418" w:footer="1134" w:gutter="0"/>
          <w:pgNumType w:fmt="upperRoman"/>
          <w:cols w:space="720" w:num="1"/>
          <w:formProt w:val="0"/>
          <w:docGrid w:type="lines" w:linePitch="312" w:charSpace="0"/>
        </w:sectPr>
      </w:pPr>
      <w:bookmarkStart w:id="6" w:name="_Toc20518"/>
    </w:p>
    <w:p>
      <w:pPr>
        <w:pStyle w:val="24"/>
        <w:spacing w:before="850" w:after="680"/>
        <w:rPr>
          <w:szCs w:val="32"/>
        </w:rPr>
      </w:pPr>
      <w:bookmarkStart w:id="7" w:name="_Toc32701"/>
      <w:r>
        <w:rPr>
          <w:rFonts w:hint="eastAsia"/>
          <w:szCs w:val="32"/>
        </w:rPr>
        <w:t>前 言</w:t>
      </w:r>
      <w:bookmarkEnd w:id="6"/>
      <w:bookmarkEnd w:id="7"/>
    </w:p>
    <w:p>
      <w:pPr>
        <w:spacing w:line="400" w:lineRule="exact"/>
        <w:ind w:firstLine="420" w:firstLineChars="200"/>
        <w:rPr>
          <w:rFonts w:ascii="宋体" w:hAnsi="宋体" w:cs="宋体"/>
          <w:szCs w:val="21"/>
        </w:rPr>
      </w:pPr>
      <w:r>
        <w:rPr>
          <w:rFonts w:hint="eastAsia" w:ascii="宋体" w:hAnsi="宋体" w:cs="宋体"/>
          <w:szCs w:val="21"/>
        </w:rPr>
        <w:t>本文件按照GB/T 1.1-2020给出的规则起草。</w:t>
      </w:r>
    </w:p>
    <w:p>
      <w:pPr>
        <w:spacing w:line="400" w:lineRule="exact"/>
        <w:ind w:firstLine="420" w:firstLineChars="200"/>
        <w:rPr>
          <w:rFonts w:ascii="宋体" w:hAnsi="宋体" w:cs="宋体"/>
          <w:szCs w:val="21"/>
        </w:rPr>
      </w:pPr>
      <w:r>
        <w:rPr>
          <w:rFonts w:hint="eastAsia" w:ascii="宋体" w:hAnsi="宋体" w:cs="宋体"/>
          <w:szCs w:val="21"/>
        </w:rPr>
        <w:t>本文件由内蒙古河套灌区水利发展中心提出。</w:t>
      </w:r>
    </w:p>
    <w:p>
      <w:pPr>
        <w:spacing w:line="400" w:lineRule="exact"/>
        <w:ind w:firstLine="420" w:firstLineChars="200"/>
        <w:rPr>
          <w:rFonts w:ascii="宋体" w:hAnsi="宋体" w:cs="宋体"/>
          <w:szCs w:val="21"/>
        </w:rPr>
      </w:pPr>
      <w:r>
        <w:rPr>
          <w:rFonts w:hint="eastAsia" w:ascii="宋体" w:hAnsi="宋体" w:cs="宋体"/>
          <w:szCs w:val="21"/>
        </w:rPr>
        <w:t>本文件由巴彦淖尔市水利局归口。</w:t>
      </w:r>
    </w:p>
    <w:p>
      <w:pPr>
        <w:spacing w:line="400" w:lineRule="exact"/>
        <w:ind w:firstLine="420" w:firstLineChars="200"/>
        <w:rPr>
          <w:rFonts w:ascii="宋体" w:hAnsi="宋体" w:cs="宋体"/>
          <w:szCs w:val="21"/>
        </w:rPr>
      </w:pPr>
      <w:r>
        <w:rPr>
          <w:rFonts w:hint="eastAsia" w:ascii="宋体" w:hAnsi="宋体" w:cs="宋体"/>
          <w:szCs w:val="21"/>
        </w:rPr>
        <w:t>本文件起草单位：</w:t>
      </w:r>
      <w:bookmarkStart w:id="8" w:name="_Hlk91851652"/>
      <w:r>
        <w:rPr>
          <w:rFonts w:hint="eastAsia" w:ascii="宋体" w:hAnsi="宋体" w:cs="宋体"/>
          <w:szCs w:val="21"/>
        </w:rPr>
        <w:t>中国水利水电科学研究院、</w:t>
      </w:r>
      <w:bookmarkEnd w:id="8"/>
      <w:r>
        <w:rPr>
          <w:rFonts w:hint="eastAsia" w:ascii="宋体" w:hAnsi="宋体" w:cs="宋体"/>
          <w:szCs w:val="21"/>
        </w:rPr>
        <w:t>内蒙古河套灌区水利发展中心。</w:t>
      </w:r>
    </w:p>
    <w:p>
      <w:pPr>
        <w:spacing w:line="400" w:lineRule="exact"/>
        <w:ind w:firstLine="420" w:firstLineChars="200"/>
        <w:rPr>
          <w:sz w:val="30"/>
          <w:szCs w:val="30"/>
        </w:rPr>
      </w:pPr>
      <w:r>
        <w:rPr>
          <w:rFonts w:hint="eastAsia" w:ascii="宋体" w:hAnsi="宋体" w:cs="宋体"/>
          <w:szCs w:val="21"/>
        </w:rPr>
        <w:t>本文件主要起草人：吴文勇</w:t>
      </w:r>
      <w:r>
        <w:rPr>
          <w:rFonts w:hint="eastAsia" w:ascii="宋体" w:hAnsi="宋体" w:cs="宋体"/>
          <w:szCs w:val="21"/>
          <w:lang w:eastAsia="zh-CN"/>
        </w:rPr>
        <w:t>、</w:t>
      </w:r>
      <w:r>
        <w:rPr>
          <w:rFonts w:hint="eastAsia" w:ascii="宋体" w:hAnsi="宋体" w:cs="宋体"/>
          <w:szCs w:val="21"/>
        </w:rPr>
        <w:t>李根东</w:t>
      </w:r>
      <w:r>
        <w:rPr>
          <w:rFonts w:hint="eastAsia" w:ascii="宋体" w:hAnsi="宋体" w:cs="宋体"/>
          <w:szCs w:val="21"/>
          <w:lang w:eastAsia="zh-CN"/>
        </w:rPr>
        <w:t>、</w:t>
      </w:r>
      <w:r>
        <w:rPr>
          <w:rFonts w:hint="eastAsia" w:ascii="宋体" w:hAnsi="宋体" w:cs="宋体"/>
          <w:szCs w:val="21"/>
        </w:rPr>
        <w:t>高黎辉、张广明</w:t>
      </w:r>
      <w:r>
        <w:rPr>
          <w:rFonts w:hint="eastAsia" w:ascii="宋体" w:hAnsi="宋体" w:cs="宋体"/>
          <w:szCs w:val="21"/>
          <w:lang w:eastAsia="zh-CN"/>
        </w:rPr>
        <w:t>、</w:t>
      </w:r>
      <w:r>
        <w:rPr>
          <w:rFonts w:hint="eastAsia" w:ascii="宋体" w:hAnsi="宋体" w:cs="宋体"/>
          <w:szCs w:val="21"/>
        </w:rPr>
        <w:t>苏小飞</w:t>
      </w:r>
      <w:r>
        <w:rPr>
          <w:rFonts w:hint="eastAsia" w:ascii="宋体" w:hAnsi="宋体" w:cs="宋体"/>
          <w:szCs w:val="21"/>
          <w:lang w:eastAsia="zh-CN"/>
        </w:rPr>
        <w:t>、</w:t>
      </w:r>
      <w:r>
        <w:rPr>
          <w:rFonts w:hint="eastAsia" w:ascii="宋体" w:hAnsi="宋体" w:cs="宋体"/>
          <w:szCs w:val="21"/>
        </w:rPr>
        <w:t>徐宏伟</w:t>
      </w:r>
      <w:r>
        <w:rPr>
          <w:rFonts w:hint="eastAsia" w:ascii="宋体" w:hAnsi="宋体" w:cs="宋体"/>
          <w:szCs w:val="21"/>
          <w:lang w:eastAsia="zh-CN"/>
        </w:rPr>
        <w:t>、</w:t>
      </w:r>
      <w:r>
        <w:rPr>
          <w:rFonts w:hint="eastAsia" w:ascii="宋体" w:hAnsi="宋体" w:cs="宋体"/>
          <w:szCs w:val="21"/>
        </w:rPr>
        <w:t>李子明、胡雅琪、</w:t>
      </w:r>
      <w:r>
        <w:rPr>
          <w:rFonts w:hint="eastAsia" w:ascii="宋体" w:hAnsi="宋体" w:cs="宋体"/>
          <w:szCs w:val="21"/>
          <w:lang w:eastAsia="zh-CN"/>
        </w:rPr>
        <w:t>关丽罡</w:t>
      </w:r>
      <w:r>
        <w:rPr>
          <w:rFonts w:hint="eastAsia" w:ascii="宋体" w:hAnsi="宋体" w:cs="宋体"/>
          <w:szCs w:val="21"/>
          <w:lang w:val="en-US" w:eastAsia="zh-CN"/>
        </w:rPr>
        <w:t xml:space="preserve">  </w:t>
      </w:r>
      <w:r>
        <w:rPr>
          <w:rFonts w:hint="eastAsia" w:ascii="宋体" w:hAnsi="宋体" w:cs="宋体"/>
          <w:szCs w:val="21"/>
        </w:rPr>
        <w:t>范泽华</w:t>
      </w:r>
      <w:r>
        <w:rPr>
          <w:rFonts w:hint="eastAsia" w:ascii="宋体" w:hAnsi="宋体" w:cs="宋体"/>
          <w:szCs w:val="21"/>
          <w:lang w:eastAsia="zh-CN"/>
        </w:rPr>
        <w:t>、</w:t>
      </w:r>
      <w:r>
        <w:rPr>
          <w:rFonts w:hint="eastAsia" w:ascii="宋体" w:hAnsi="宋体" w:cs="宋体"/>
          <w:szCs w:val="21"/>
        </w:rPr>
        <w:t>周有文 王会永</w:t>
      </w:r>
      <w:r>
        <w:rPr>
          <w:rFonts w:hint="eastAsia" w:ascii="宋体" w:hAnsi="宋体" w:cs="宋体"/>
          <w:szCs w:val="21"/>
          <w:lang w:eastAsia="zh-CN"/>
        </w:rPr>
        <w:t>、</w:t>
      </w:r>
      <w:r>
        <w:rPr>
          <w:rFonts w:hint="eastAsia" w:ascii="宋体" w:hAnsi="宋体" w:cs="宋体"/>
          <w:szCs w:val="21"/>
          <w:lang w:val="en-US" w:eastAsia="zh-CN"/>
        </w:rPr>
        <w:t>马蒙、</w:t>
      </w:r>
      <w:r>
        <w:rPr>
          <w:rFonts w:hint="eastAsia" w:ascii="宋体" w:hAnsi="宋体" w:cs="宋体"/>
          <w:szCs w:val="21"/>
        </w:rPr>
        <w:t>武剑微</w:t>
      </w:r>
      <w:r>
        <w:rPr>
          <w:rFonts w:hint="eastAsia" w:ascii="宋体" w:hAnsi="宋体" w:cs="宋体"/>
          <w:szCs w:val="21"/>
          <w:lang w:eastAsia="zh-CN"/>
        </w:rPr>
        <w:t>、</w:t>
      </w:r>
      <w:r>
        <w:rPr>
          <w:rFonts w:hint="eastAsia" w:ascii="宋体" w:hAnsi="宋体" w:cs="宋体"/>
          <w:szCs w:val="21"/>
        </w:rPr>
        <w:t>王宏冰</w:t>
      </w:r>
      <w:r>
        <w:rPr>
          <w:rFonts w:hint="eastAsia" w:ascii="宋体" w:hAnsi="宋体" w:cs="宋体"/>
          <w:szCs w:val="21"/>
          <w:lang w:eastAsia="zh-CN"/>
        </w:rPr>
        <w:t>、</w:t>
      </w:r>
      <w:r>
        <w:rPr>
          <w:rFonts w:hint="eastAsia" w:ascii="宋体" w:hAnsi="宋体" w:cs="宋体"/>
          <w:szCs w:val="21"/>
          <w:lang w:val="en-US" w:eastAsia="zh-CN"/>
        </w:rPr>
        <w:t>孙喆、</w:t>
      </w:r>
      <w:r>
        <w:rPr>
          <w:rFonts w:hint="eastAsia" w:ascii="宋体" w:hAnsi="宋体" w:cs="宋体"/>
          <w:szCs w:val="21"/>
        </w:rPr>
        <w:t>王俪钧</w:t>
      </w:r>
      <w:r>
        <w:rPr>
          <w:rFonts w:hint="eastAsia" w:ascii="宋体" w:hAnsi="宋体" w:cs="宋体"/>
          <w:szCs w:val="21"/>
          <w:lang w:eastAsia="zh-CN"/>
        </w:rPr>
        <w:t>、</w:t>
      </w:r>
      <w:r>
        <w:rPr>
          <w:rFonts w:hint="eastAsia" w:ascii="宋体" w:hAnsi="宋体" w:cs="宋体"/>
          <w:szCs w:val="21"/>
        </w:rPr>
        <w:t>杨智渊</w:t>
      </w:r>
      <w:r>
        <w:rPr>
          <w:rFonts w:hint="eastAsia" w:ascii="宋体" w:hAnsi="宋体" w:cs="宋体"/>
          <w:szCs w:val="21"/>
          <w:lang w:eastAsia="zh-CN"/>
        </w:rPr>
        <w:t>、</w:t>
      </w:r>
      <w:r>
        <w:rPr>
          <w:rFonts w:hint="eastAsia" w:ascii="宋体" w:hAnsi="宋体" w:cs="宋体"/>
          <w:szCs w:val="21"/>
        </w:rPr>
        <w:t>刘静</w:t>
      </w:r>
      <w:r>
        <w:rPr>
          <w:rFonts w:hint="eastAsia" w:ascii="宋体" w:hAnsi="宋体" w:cs="宋体"/>
          <w:szCs w:val="21"/>
          <w:lang w:eastAsia="zh-CN"/>
        </w:rPr>
        <w:t>、</w:t>
      </w:r>
      <w:r>
        <w:rPr>
          <w:rFonts w:hint="eastAsia" w:ascii="宋体" w:hAnsi="宋体" w:cs="宋体"/>
          <w:szCs w:val="21"/>
        </w:rPr>
        <w:t>张海军</w:t>
      </w:r>
      <w:r>
        <w:rPr>
          <w:rFonts w:hint="eastAsia" w:ascii="宋体" w:hAnsi="宋体" w:cs="宋体"/>
          <w:szCs w:val="21"/>
          <w:lang w:eastAsia="zh-CN"/>
        </w:rPr>
        <w:t>、</w:t>
      </w:r>
      <w:r>
        <w:rPr>
          <w:rFonts w:hint="eastAsia" w:ascii="宋体" w:hAnsi="宋体" w:cs="宋体"/>
          <w:szCs w:val="21"/>
        </w:rPr>
        <w:t>吴立实</w:t>
      </w:r>
      <w:r>
        <w:rPr>
          <w:rFonts w:hint="eastAsia" w:ascii="宋体" w:hAnsi="宋体" w:cs="宋体"/>
          <w:szCs w:val="21"/>
          <w:lang w:eastAsia="zh-CN"/>
        </w:rPr>
        <w:t>、</w:t>
      </w:r>
      <w:r>
        <w:rPr>
          <w:rFonts w:hint="eastAsia" w:ascii="宋体" w:hAnsi="宋体" w:cs="宋体"/>
          <w:szCs w:val="21"/>
        </w:rPr>
        <w:t>闫晋阳</w:t>
      </w:r>
      <w:r>
        <w:rPr>
          <w:rFonts w:hint="eastAsia" w:ascii="宋体" w:hAnsi="宋体" w:cs="宋体"/>
          <w:szCs w:val="21"/>
          <w:lang w:eastAsia="zh-CN"/>
        </w:rPr>
        <w:t>、</w:t>
      </w:r>
      <w:r>
        <w:rPr>
          <w:rFonts w:hint="eastAsia" w:ascii="宋体" w:hAnsi="宋体" w:cs="宋体"/>
          <w:szCs w:val="21"/>
        </w:rPr>
        <w:t>裴文武</w:t>
      </w:r>
      <w:r>
        <w:rPr>
          <w:rFonts w:hint="eastAsia" w:ascii="宋体" w:hAnsi="宋体" w:cs="宋体"/>
          <w:szCs w:val="21"/>
          <w:lang w:eastAsia="zh-CN"/>
        </w:rPr>
        <w:t>、</w:t>
      </w:r>
      <w:r>
        <w:rPr>
          <w:rFonts w:hint="eastAsia" w:ascii="宋体" w:hAnsi="宋体" w:cs="宋体"/>
          <w:szCs w:val="21"/>
        </w:rPr>
        <w:t>薛富平</w:t>
      </w:r>
      <w:r>
        <w:rPr>
          <w:rFonts w:hint="eastAsia" w:ascii="宋体" w:hAnsi="宋体" w:cs="宋体"/>
          <w:szCs w:val="21"/>
          <w:lang w:eastAsia="zh-CN"/>
        </w:rPr>
        <w:t>、</w:t>
      </w:r>
      <w:r>
        <w:rPr>
          <w:rFonts w:hint="eastAsia" w:ascii="宋体" w:hAnsi="宋体" w:cs="宋体"/>
          <w:szCs w:val="21"/>
        </w:rPr>
        <w:t>韩文光</w:t>
      </w:r>
      <w:r>
        <w:rPr>
          <w:rFonts w:hint="eastAsia" w:ascii="宋体" w:hAnsi="宋体" w:cs="宋体"/>
          <w:szCs w:val="21"/>
          <w:lang w:eastAsia="zh-CN"/>
        </w:rPr>
        <w:t>、</w:t>
      </w:r>
      <w:r>
        <w:rPr>
          <w:rFonts w:hint="eastAsia" w:ascii="宋体" w:hAnsi="宋体" w:cs="宋体"/>
          <w:szCs w:val="21"/>
        </w:rPr>
        <w:t>梁勇</w:t>
      </w:r>
      <w:r>
        <w:rPr>
          <w:rFonts w:hint="eastAsia" w:ascii="宋体" w:hAnsi="宋体" w:cs="宋体"/>
          <w:szCs w:val="21"/>
          <w:lang w:eastAsia="zh-CN"/>
        </w:rPr>
        <w:t>、</w:t>
      </w:r>
      <w:r>
        <w:rPr>
          <w:rFonts w:hint="eastAsia" w:ascii="宋体" w:hAnsi="宋体" w:cs="宋体"/>
          <w:szCs w:val="21"/>
        </w:rPr>
        <w:t>任其智</w:t>
      </w:r>
      <w:r>
        <w:rPr>
          <w:rFonts w:hint="eastAsia" w:ascii="宋体" w:hAnsi="宋体" w:cs="宋体"/>
          <w:szCs w:val="21"/>
          <w:lang w:eastAsia="zh-CN"/>
        </w:rPr>
        <w:t>。</w:t>
      </w:r>
    </w:p>
    <w:p>
      <w:pPr>
        <w:pStyle w:val="30"/>
        <w:framePr w:w="2518" w:h="599" w:hRule="exact" w:x="7474" w:y="1609"/>
        <w:rPr>
          <w:sz w:val="30"/>
          <w:szCs w:val="30"/>
        </w:rPr>
        <w:sectPr>
          <w:footerReference r:id="rId7" w:type="default"/>
          <w:pgSz w:w="11906" w:h="16838"/>
          <w:pgMar w:top="2268" w:right="1800" w:bottom="1440" w:left="1417" w:header="1418" w:footer="1134" w:gutter="0"/>
          <w:pgNumType w:fmt="upperRoman" w:start="2"/>
          <w:cols w:space="720" w:num="1"/>
          <w:formProt w:val="0"/>
          <w:docGrid w:type="lines" w:linePitch="312" w:charSpace="0"/>
        </w:sectPr>
      </w:pPr>
      <w:r>
        <w:rPr>
          <w:rFonts w:hint="eastAsia" w:hAnsi="黑体" w:cs="黑体"/>
        </w:rPr>
        <w:t>DB/TXXXX—XXXX</w:t>
      </w:r>
    </w:p>
    <w:p>
      <w:pPr>
        <w:spacing w:line="400" w:lineRule="exact"/>
        <w:rPr>
          <w:sz w:val="30"/>
          <w:szCs w:val="30"/>
        </w:rPr>
      </w:pPr>
    </w:p>
    <w:p>
      <w:pPr>
        <w:pStyle w:val="24"/>
        <w:rPr>
          <w:szCs w:val="32"/>
        </w:rPr>
        <w:sectPr>
          <w:footerReference r:id="rId8" w:type="default"/>
          <w:pgSz w:w="11906" w:h="16838"/>
          <w:pgMar w:top="2268" w:right="1800" w:bottom="1440" w:left="1417" w:header="1418" w:footer="1134" w:gutter="0"/>
          <w:pgNumType w:fmt="upperRoman"/>
          <w:cols w:space="720" w:num="1"/>
          <w:formProt w:val="0"/>
          <w:docGrid w:type="lines" w:linePitch="312" w:charSpace="0"/>
        </w:sectPr>
      </w:pPr>
      <w:bookmarkStart w:id="9" w:name="_Toc13961"/>
    </w:p>
    <w:bookmarkEnd w:id="9"/>
    <w:p>
      <w:pPr>
        <w:spacing w:line="400" w:lineRule="exact"/>
        <w:rPr>
          <w:sz w:val="30"/>
          <w:szCs w:val="30"/>
        </w:rPr>
      </w:pPr>
    </w:p>
    <w:p>
      <w:pPr>
        <w:jc w:val="center"/>
        <w:rPr>
          <w:rFonts w:ascii="黑体" w:hAnsi="黑体" w:eastAsia="黑体" w:cs="黑体"/>
          <w:sz w:val="32"/>
          <w:szCs w:val="32"/>
        </w:rPr>
      </w:pPr>
      <w:r>
        <w:rPr>
          <w:rFonts w:hint="eastAsia" w:ascii="黑体" w:hAnsi="黑体" w:eastAsia="黑体" w:cs="黑体"/>
          <w:sz w:val="32"/>
          <w:szCs w:val="32"/>
        </w:rPr>
        <w:t>明渠超声波测流工程技术规范</w:t>
      </w:r>
    </w:p>
    <w:p>
      <w:pPr>
        <w:pStyle w:val="21"/>
        <w:outlineLvl w:val="0"/>
        <w:rPr>
          <w:szCs w:val="21"/>
        </w:rPr>
      </w:pPr>
      <w:bookmarkStart w:id="10" w:name="_Toc481932498"/>
      <w:bookmarkStart w:id="11" w:name="_Toc13718"/>
      <w:bookmarkStart w:id="12" w:name="_Toc481750280"/>
      <w:bookmarkStart w:id="13" w:name="_Toc470610462"/>
      <w:bookmarkStart w:id="14" w:name="_Toc481750142"/>
      <w:bookmarkStart w:id="15" w:name="_Toc470609805"/>
      <w:bookmarkStart w:id="16" w:name="_Toc28828"/>
      <w:bookmarkStart w:id="17" w:name="_Toc481932914"/>
      <w:r>
        <w:rPr>
          <w:rFonts w:hint="eastAsia"/>
          <w:szCs w:val="21"/>
        </w:rPr>
        <w:t>范围</w:t>
      </w:r>
      <w:bookmarkEnd w:id="10"/>
      <w:bookmarkEnd w:id="11"/>
      <w:bookmarkEnd w:id="12"/>
      <w:bookmarkEnd w:id="13"/>
      <w:bookmarkEnd w:id="14"/>
      <w:bookmarkEnd w:id="15"/>
      <w:bookmarkEnd w:id="16"/>
      <w:bookmarkEnd w:id="17"/>
    </w:p>
    <w:p>
      <w:pPr>
        <w:widowControl/>
        <w:tabs>
          <w:tab w:val="center" w:pos="4201"/>
          <w:tab w:val="right" w:leader="dot" w:pos="9298"/>
        </w:tabs>
        <w:autoSpaceDE w:val="0"/>
        <w:autoSpaceDN w:val="0"/>
        <w:ind w:firstLine="420" w:firstLineChars="200"/>
        <w:rPr>
          <w:rFonts w:eastAsia="黑体"/>
          <w:szCs w:val="21"/>
        </w:rPr>
      </w:pPr>
      <w:r>
        <w:rPr>
          <w:rFonts w:hint="eastAsia"/>
          <w:szCs w:val="21"/>
        </w:rPr>
        <w:t>本文件规定了明渠超声波测流工程的技术要求。</w:t>
      </w:r>
    </w:p>
    <w:p>
      <w:pPr>
        <w:widowControl/>
        <w:tabs>
          <w:tab w:val="center" w:pos="4201"/>
          <w:tab w:val="right" w:leader="dot" w:pos="9298"/>
        </w:tabs>
        <w:autoSpaceDE w:val="0"/>
        <w:autoSpaceDN w:val="0"/>
        <w:ind w:firstLine="420" w:firstLineChars="200"/>
        <w:rPr>
          <w:szCs w:val="21"/>
        </w:rPr>
      </w:pPr>
      <w:r>
        <w:rPr>
          <w:rFonts w:hint="eastAsia"/>
          <w:szCs w:val="21"/>
        </w:rPr>
        <w:t>本文件适用于引黄灌溉明渠超声波测流工程。包括新建、扩建或改建的引黄灌溉明渠超声波测流工程规划、设计、施工和运行管理。</w:t>
      </w:r>
    </w:p>
    <w:p>
      <w:pPr>
        <w:pStyle w:val="21"/>
        <w:outlineLvl w:val="0"/>
        <w:rPr>
          <w:szCs w:val="21"/>
        </w:rPr>
      </w:pPr>
      <w:bookmarkStart w:id="18" w:name="_Toc3847"/>
      <w:bookmarkStart w:id="19" w:name="_Toc481750143"/>
      <w:bookmarkStart w:id="20" w:name="_Toc5737"/>
      <w:bookmarkStart w:id="21" w:name="_Toc470609806"/>
      <w:bookmarkStart w:id="22" w:name="_Toc481932499"/>
      <w:bookmarkStart w:id="23" w:name="_Toc481932915"/>
      <w:bookmarkStart w:id="24" w:name="_Toc470610463"/>
      <w:bookmarkStart w:id="25" w:name="_Toc481750281"/>
      <w:r>
        <w:rPr>
          <w:rFonts w:hint="eastAsia"/>
          <w:szCs w:val="21"/>
        </w:rPr>
        <w:t>规范性引用文件</w:t>
      </w:r>
      <w:bookmarkEnd w:id="18"/>
      <w:bookmarkEnd w:id="19"/>
      <w:bookmarkEnd w:id="20"/>
      <w:bookmarkEnd w:id="21"/>
      <w:bookmarkEnd w:id="22"/>
      <w:bookmarkEnd w:id="23"/>
      <w:bookmarkEnd w:id="24"/>
      <w:bookmarkEnd w:id="25"/>
    </w:p>
    <w:p>
      <w:pPr>
        <w:widowControl/>
        <w:tabs>
          <w:tab w:val="center" w:pos="4201"/>
          <w:tab w:val="right" w:leader="dot" w:pos="9298"/>
        </w:tabs>
        <w:autoSpaceDE w:val="0"/>
        <w:autoSpaceDN w:val="0"/>
        <w:ind w:firstLine="420" w:firstLineChars="200"/>
        <w:rPr>
          <w:szCs w:val="21"/>
        </w:rPr>
      </w:pPr>
      <w:bookmarkStart w:id="26" w:name="_Toc470609807"/>
      <w:bookmarkStart w:id="27" w:name="_Toc481750144"/>
      <w:bookmarkStart w:id="28" w:name="_Toc481750282"/>
      <w:bookmarkStart w:id="29" w:name="_Toc481932500"/>
      <w:bookmarkStart w:id="30" w:name="_Toc481932916"/>
      <w:bookmarkStart w:id="31" w:name="_Toc470610464"/>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0"/>
        <w:rPr>
          <w:rFonts w:ascii="Times New Roman"/>
        </w:rPr>
      </w:pPr>
      <w:r>
        <w:rPr>
          <w:rFonts w:ascii="Times New Roman"/>
        </w:rPr>
        <w:t>JJF 1001-2011 通用计量术语及定义</w:t>
      </w:r>
    </w:p>
    <w:p>
      <w:pPr>
        <w:pStyle w:val="20"/>
        <w:rPr>
          <w:rFonts w:ascii="Times New Roman"/>
        </w:rPr>
      </w:pPr>
      <w:r>
        <w:rPr>
          <w:rFonts w:ascii="Times New Roman"/>
        </w:rPr>
        <w:t>JJF 1004-04 流量计量名词术语及定义</w:t>
      </w:r>
    </w:p>
    <w:p>
      <w:pPr>
        <w:pStyle w:val="20"/>
        <w:rPr>
          <w:rFonts w:ascii="Times New Roman"/>
        </w:rPr>
      </w:pPr>
      <w:r>
        <w:rPr>
          <w:rFonts w:ascii="Times New Roman"/>
        </w:rPr>
        <w:t>GB 4208-2017 外壳防护等级（IP代码）</w:t>
      </w:r>
    </w:p>
    <w:p>
      <w:pPr>
        <w:pStyle w:val="20"/>
        <w:rPr>
          <w:rFonts w:hint="eastAsia" w:ascii="Times New Roman"/>
        </w:rPr>
      </w:pPr>
      <w:r>
        <w:rPr>
          <w:rFonts w:hint="eastAsia" w:ascii="Times New Roman"/>
        </w:rPr>
        <w:t>DB 1508/T 137 水利信息资源目录与元数据规范</w:t>
      </w:r>
    </w:p>
    <w:p>
      <w:pPr>
        <w:pStyle w:val="20"/>
        <w:rPr>
          <w:rFonts w:hint="eastAsia" w:ascii="Times New Roman"/>
          <w:lang w:val="en-US" w:eastAsia="zh-CN"/>
        </w:rPr>
      </w:pPr>
      <w:r>
        <w:rPr>
          <w:rFonts w:hint="eastAsia" w:ascii="Times New Roman"/>
          <w:lang w:val="en-US" w:eastAsia="zh-CN"/>
        </w:rPr>
        <w:t>GB/T 28714 取水计量技术导则</w:t>
      </w:r>
    </w:p>
    <w:p>
      <w:pPr>
        <w:pStyle w:val="20"/>
        <w:rPr>
          <w:rFonts w:hint="default" w:ascii="Times New Roman"/>
          <w:lang w:val="en-US" w:eastAsia="zh-CN"/>
        </w:rPr>
      </w:pPr>
      <w:r>
        <w:rPr>
          <w:rFonts w:hint="default" w:ascii="Times New Roman"/>
          <w:lang w:val="en-US" w:eastAsia="zh-CN"/>
        </w:rPr>
        <w:t>T/CIDA 0018-2023《灌区农业用水计量率定技术规程》</w:t>
      </w:r>
    </w:p>
    <w:p>
      <w:pPr>
        <w:pStyle w:val="21"/>
        <w:outlineLvl w:val="0"/>
        <w:rPr>
          <w:szCs w:val="21"/>
        </w:rPr>
      </w:pPr>
      <w:bookmarkStart w:id="32" w:name="_Toc17330"/>
      <w:bookmarkStart w:id="33" w:name="_Toc818"/>
      <w:r>
        <w:rPr>
          <w:rFonts w:hint="eastAsia"/>
          <w:szCs w:val="21"/>
        </w:rPr>
        <w:t>术语</w:t>
      </w:r>
      <w:r>
        <w:rPr>
          <w:rFonts w:hint="eastAsia"/>
          <w:color w:val="000000"/>
          <w:szCs w:val="21"/>
        </w:rPr>
        <w:t>和</w:t>
      </w:r>
      <w:r>
        <w:rPr>
          <w:rFonts w:hint="eastAsia"/>
          <w:szCs w:val="21"/>
        </w:rPr>
        <w:t>定义</w:t>
      </w:r>
      <w:bookmarkEnd w:id="26"/>
      <w:bookmarkEnd w:id="27"/>
      <w:bookmarkEnd w:id="28"/>
      <w:bookmarkEnd w:id="29"/>
      <w:bookmarkEnd w:id="30"/>
      <w:bookmarkEnd w:id="31"/>
      <w:bookmarkEnd w:id="32"/>
      <w:bookmarkEnd w:id="33"/>
    </w:p>
    <w:p>
      <w:pPr>
        <w:pStyle w:val="20"/>
        <w:rPr>
          <w:szCs w:val="21"/>
        </w:rPr>
      </w:pPr>
      <w:r>
        <w:rPr>
          <w:rFonts w:hint="eastAsia" w:hAnsi="宋体"/>
          <w:szCs w:val="21"/>
        </w:rPr>
        <w:t>下列术语和定义适用于本</w:t>
      </w:r>
      <w:r>
        <w:rPr>
          <w:rFonts w:hint="eastAsia" w:hAnsi="宋体"/>
          <w:color w:val="000000"/>
          <w:szCs w:val="21"/>
        </w:rPr>
        <w:t>文件。</w:t>
      </w:r>
    </w:p>
    <w:p>
      <w:pPr>
        <w:pStyle w:val="19"/>
      </w:pPr>
      <w:bookmarkStart w:id="34" w:name="_Toc481750145"/>
      <w:bookmarkEnd w:id="34"/>
      <w:bookmarkStart w:id="35" w:name="_Toc470610465"/>
      <w:bookmarkEnd w:id="35"/>
      <w:bookmarkStart w:id="36" w:name="_Toc481750329"/>
      <w:bookmarkEnd w:id="36"/>
      <w:bookmarkStart w:id="37" w:name="_Toc481932501"/>
      <w:bookmarkEnd w:id="37"/>
      <w:bookmarkStart w:id="38" w:name="_Toc481932917"/>
      <w:bookmarkEnd w:id="38"/>
      <w:bookmarkStart w:id="39" w:name="_Toc481750283"/>
      <w:bookmarkEnd w:id="39"/>
      <w:bookmarkStart w:id="40" w:name="_Toc470609808"/>
      <w:bookmarkEnd w:id="40"/>
    </w:p>
    <w:p>
      <w:pPr>
        <w:pStyle w:val="19"/>
        <w:numPr>
          <w:ilvl w:val="1"/>
          <w:numId w:val="0"/>
        </w:numPr>
        <w:ind w:firstLine="420" w:firstLineChars="200"/>
      </w:pPr>
      <w:r>
        <w:rPr>
          <w:rFonts w:hint="eastAsia"/>
        </w:rPr>
        <w:t>明渠超声波测流设备    Measurement equipments using ultrasonic flowmeters</w:t>
      </w:r>
    </w:p>
    <w:p>
      <w:pPr>
        <w:pStyle w:val="20"/>
        <w:rPr>
          <w:rFonts w:hint="eastAsia" w:hAnsi="宋体"/>
          <w:szCs w:val="21"/>
        </w:rPr>
      </w:pPr>
      <w:r>
        <w:rPr>
          <w:rFonts w:hint="eastAsia" w:hAnsi="宋体"/>
          <w:szCs w:val="21"/>
        </w:rPr>
        <w:t>采用超声波时差法原理测定明渠流量的工程，主要工程类型包括</w:t>
      </w:r>
      <w:r>
        <w:rPr>
          <w:rFonts w:hint="eastAsia"/>
        </w:rPr>
        <w:t>超声波测流箱、超声波测流槽、</w:t>
      </w:r>
      <w:r>
        <w:rPr>
          <w:rFonts w:hint="eastAsia" w:hAnsi="黑体"/>
        </w:rPr>
        <w:t>超声波测流柱等</w:t>
      </w:r>
      <w:r>
        <w:rPr>
          <w:rFonts w:hint="eastAsia" w:hAnsi="宋体"/>
          <w:szCs w:val="21"/>
        </w:rPr>
        <w:t>。</w:t>
      </w:r>
    </w:p>
    <w:p>
      <w:pPr>
        <w:pStyle w:val="19"/>
        <w:rPr>
          <w:rFonts w:hint="eastAsia"/>
        </w:rPr>
      </w:pPr>
    </w:p>
    <w:p>
      <w:pPr>
        <w:pStyle w:val="19"/>
        <w:numPr>
          <w:ilvl w:val="1"/>
          <w:numId w:val="0"/>
        </w:numPr>
        <w:ind w:firstLine="420" w:firstLineChars="200"/>
        <w:rPr>
          <w:rFonts w:hint="eastAsia"/>
        </w:rPr>
      </w:pPr>
      <w:r>
        <w:rPr>
          <w:rFonts w:hint="eastAsia"/>
        </w:rPr>
        <w:t>明渠超声波测流工程    Flow measurement projects using ultrasonic flowmeters</w:t>
      </w:r>
    </w:p>
    <w:p>
      <w:pPr>
        <w:pStyle w:val="20"/>
        <w:rPr>
          <w:rFonts w:hAnsi="宋体"/>
          <w:szCs w:val="21"/>
        </w:rPr>
      </w:pPr>
      <w:r>
        <w:rPr>
          <w:rFonts w:hint="eastAsia" w:hAnsi="宋体"/>
          <w:szCs w:val="21"/>
        </w:rPr>
        <w:t>由明渠测流进水</w:t>
      </w:r>
      <w:r>
        <w:rPr>
          <w:rFonts w:hint="eastAsia" w:hAnsi="宋体"/>
          <w:szCs w:val="21"/>
          <w:lang w:val="en-US" w:eastAsia="zh-CN"/>
        </w:rPr>
        <w:t>过渡</w:t>
      </w:r>
      <w:r>
        <w:rPr>
          <w:rFonts w:hint="eastAsia" w:hAnsi="宋体"/>
          <w:szCs w:val="21"/>
        </w:rPr>
        <w:t>段、</w:t>
      </w:r>
      <w:r>
        <w:rPr>
          <w:rFonts w:hint="eastAsia"/>
        </w:rPr>
        <w:t>超声波测流设备、</w:t>
      </w:r>
      <w:r>
        <w:rPr>
          <w:rFonts w:hint="eastAsia" w:hAnsi="宋体"/>
          <w:szCs w:val="21"/>
        </w:rPr>
        <w:t>出水</w:t>
      </w:r>
      <w:r>
        <w:rPr>
          <w:rFonts w:hint="eastAsia" w:hAnsi="宋体"/>
          <w:szCs w:val="21"/>
          <w:lang w:val="en-US" w:eastAsia="zh-CN"/>
        </w:rPr>
        <w:t>过渡</w:t>
      </w:r>
      <w:r>
        <w:rPr>
          <w:rFonts w:hint="eastAsia" w:hAnsi="宋体"/>
          <w:szCs w:val="21"/>
        </w:rPr>
        <w:t>段三部分组成的测流系统。</w:t>
      </w:r>
    </w:p>
    <w:p>
      <w:pPr>
        <w:pStyle w:val="19"/>
      </w:pPr>
    </w:p>
    <w:p>
      <w:pPr>
        <w:pStyle w:val="19"/>
        <w:numPr>
          <w:ilvl w:val="1"/>
          <w:numId w:val="0"/>
        </w:numPr>
        <w:ind w:firstLine="420" w:firstLineChars="200"/>
      </w:pPr>
      <w:r>
        <w:rPr>
          <w:rFonts w:hint="eastAsia"/>
        </w:rPr>
        <w:t xml:space="preserve">超声波测流箱    Measurement boxes using ultrasonic flowmeters </w:t>
      </w:r>
    </w:p>
    <w:p>
      <w:pPr>
        <w:pStyle w:val="20"/>
        <w:rPr>
          <w:szCs w:val="21"/>
        </w:rPr>
      </w:pPr>
      <w:r>
        <w:rPr>
          <w:rFonts w:hint="eastAsia" w:hAnsi="宋体"/>
          <w:szCs w:val="21"/>
        </w:rPr>
        <w:t>两侧立面安装超声波测流系统的箱体。</w:t>
      </w:r>
    </w:p>
    <w:p>
      <w:pPr>
        <w:pStyle w:val="19"/>
      </w:pPr>
      <w:bookmarkStart w:id="41" w:name="_Toc481750285"/>
      <w:bookmarkEnd w:id="41"/>
      <w:bookmarkStart w:id="42" w:name="_Toc481932919"/>
      <w:bookmarkEnd w:id="42"/>
      <w:bookmarkStart w:id="43" w:name="_Toc470610467"/>
      <w:bookmarkEnd w:id="43"/>
      <w:bookmarkStart w:id="44" w:name="_Toc481750331"/>
      <w:bookmarkEnd w:id="44"/>
      <w:bookmarkStart w:id="45" w:name="_Toc481932505"/>
      <w:bookmarkEnd w:id="45"/>
      <w:bookmarkStart w:id="46" w:name="_Toc470609810"/>
      <w:bookmarkEnd w:id="46"/>
      <w:bookmarkStart w:id="47" w:name="_Toc481932921"/>
      <w:bookmarkEnd w:id="47"/>
      <w:bookmarkStart w:id="48" w:name="_Toc481750147"/>
      <w:bookmarkEnd w:id="48"/>
      <w:bookmarkStart w:id="49" w:name="_Toc481932503"/>
      <w:bookmarkEnd w:id="49"/>
    </w:p>
    <w:p>
      <w:pPr>
        <w:pStyle w:val="19"/>
        <w:numPr>
          <w:ilvl w:val="0"/>
          <w:numId w:val="0"/>
        </w:numPr>
        <w:ind w:left="420" w:leftChars="200"/>
      </w:pPr>
      <w:r>
        <w:rPr>
          <w:rFonts w:hint="eastAsia"/>
        </w:rPr>
        <w:t>超声波测流槽    Measurement flumes using ultrasonic flowmeters</w:t>
      </w:r>
    </w:p>
    <w:p>
      <w:pPr>
        <w:pStyle w:val="20"/>
        <w:rPr>
          <w:rFonts w:hAnsi="宋体"/>
          <w:szCs w:val="21"/>
        </w:rPr>
      </w:pPr>
      <w:r>
        <w:rPr>
          <w:rFonts w:hint="eastAsia" w:hAnsi="宋体"/>
          <w:szCs w:val="21"/>
        </w:rPr>
        <w:t>两侧立面安装超声波测流系统的槽体。</w:t>
      </w:r>
    </w:p>
    <w:p>
      <w:pPr>
        <w:pStyle w:val="19"/>
      </w:pPr>
      <w:bookmarkStart w:id="50" w:name="_Toc481750335"/>
      <w:bookmarkEnd w:id="50"/>
      <w:bookmarkStart w:id="51" w:name="_Toc470610471"/>
      <w:bookmarkEnd w:id="51"/>
      <w:bookmarkStart w:id="52" w:name="_Toc481932509"/>
      <w:bookmarkEnd w:id="52"/>
      <w:bookmarkStart w:id="53" w:name="_Toc481932507"/>
      <w:bookmarkEnd w:id="53"/>
      <w:bookmarkStart w:id="54" w:name="_Toc481932927"/>
      <w:bookmarkEnd w:id="54"/>
      <w:bookmarkStart w:id="55" w:name="_Toc481750289"/>
      <w:bookmarkEnd w:id="55"/>
      <w:bookmarkStart w:id="56" w:name="_Toc470609814"/>
      <w:bookmarkEnd w:id="56"/>
      <w:bookmarkStart w:id="57" w:name="_Toc481932923"/>
      <w:bookmarkEnd w:id="57"/>
      <w:bookmarkStart w:id="58" w:name="_Toc481750151"/>
      <w:bookmarkEnd w:id="58"/>
      <w:bookmarkStart w:id="59" w:name="_Toc481932925"/>
      <w:bookmarkEnd w:id="59"/>
      <w:bookmarkStart w:id="60" w:name="_Toc481932511"/>
      <w:bookmarkEnd w:id="60"/>
      <w:bookmarkStart w:id="61" w:name="_Toc481750292"/>
      <w:bookmarkStart w:id="62" w:name="_Toc481750154"/>
      <w:bookmarkStart w:id="63" w:name="_Toc481750338"/>
    </w:p>
    <w:p>
      <w:pPr>
        <w:pStyle w:val="19"/>
        <w:numPr>
          <w:ilvl w:val="1"/>
          <w:numId w:val="0"/>
        </w:numPr>
        <w:ind w:firstLine="420" w:firstLineChars="200"/>
        <w:rPr>
          <w:rFonts w:hAnsi="黑体"/>
        </w:rPr>
      </w:pPr>
      <w:r>
        <w:rPr>
          <w:rFonts w:hint="eastAsia" w:hAnsi="黑体"/>
        </w:rPr>
        <w:t>超声波测流柱    Measurement Columns Using Ultrasonic Flowmeters</w:t>
      </w:r>
    </w:p>
    <w:bookmarkEnd w:id="61"/>
    <w:bookmarkEnd w:id="62"/>
    <w:bookmarkEnd w:id="63"/>
    <w:p>
      <w:pPr>
        <w:pStyle w:val="20"/>
        <w:rPr>
          <w:rFonts w:hAnsi="宋体"/>
          <w:szCs w:val="21"/>
        </w:rPr>
      </w:pPr>
      <w:r>
        <w:rPr>
          <w:rFonts w:hint="eastAsia" w:hAnsi="宋体"/>
          <w:szCs w:val="21"/>
        </w:rPr>
        <w:t>安装超声波测流系统的柱体,分为前柱和后柱。</w:t>
      </w:r>
    </w:p>
    <w:p>
      <w:pPr>
        <w:pStyle w:val="19"/>
      </w:pPr>
    </w:p>
    <w:p>
      <w:pPr>
        <w:pStyle w:val="19"/>
        <w:numPr>
          <w:ilvl w:val="1"/>
          <w:numId w:val="0"/>
        </w:numPr>
        <w:ind w:firstLine="420" w:firstLineChars="200"/>
        <w:rPr>
          <w:rFonts w:hAnsi="黑体"/>
        </w:rPr>
      </w:pPr>
      <w:r>
        <w:rPr>
          <w:rFonts w:hint="eastAsia" w:hAnsi="黑体"/>
        </w:rPr>
        <w:t>侧向进水    Lateral inflow</w:t>
      </w:r>
    </w:p>
    <w:p>
      <w:pPr>
        <w:pStyle w:val="20"/>
        <w:rPr>
          <w:rFonts w:hAnsi="宋体"/>
          <w:szCs w:val="21"/>
        </w:rPr>
      </w:pPr>
      <w:r>
        <w:rPr>
          <w:rFonts w:hint="eastAsia"/>
        </w:rPr>
        <w:t>分水渠道水流方向与</w:t>
      </w:r>
      <w:r>
        <w:rPr>
          <w:rFonts w:hint="eastAsia"/>
          <w:lang w:val="en-US" w:eastAsia="zh-CN"/>
        </w:rPr>
        <w:t>上级</w:t>
      </w:r>
      <w:r>
        <w:rPr>
          <w:rFonts w:hint="eastAsia"/>
        </w:rPr>
        <w:t>渠道水流方向的角度为90</w:t>
      </w:r>
      <w:r>
        <w:rPr>
          <w:rFonts w:hint="eastAsia" w:ascii="微软雅黑" w:hAnsi="微软雅黑" w:eastAsia="微软雅黑" w:cs="微软雅黑"/>
        </w:rPr>
        <w:t>°</w:t>
      </w:r>
      <w:r>
        <w:rPr>
          <w:rFonts w:hint="eastAsia"/>
        </w:rPr>
        <w:t>或接近于90</w:t>
      </w:r>
      <w:r>
        <w:rPr>
          <w:rFonts w:hint="eastAsia" w:ascii="微软雅黑" w:hAnsi="微软雅黑" w:eastAsia="微软雅黑" w:cs="微软雅黑"/>
        </w:rPr>
        <w:t>°</w:t>
      </w:r>
      <w:r>
        <w:rPr>
          <w:rFonts w:hint="eastAsia"/>
        </w:rPr>
        <w:t>。</w:t>
      </w:r>
    </w:p>
    <w:p>
      <w:pPr>
        <w:pStyle w:val="19"/>
      </w:pPr>
    </w:p>
    <w:p>
      <w:pPr>
        <w:pStyle w:val="19"/>
        <w:numPr>
          <w:ilvl w:val="1"/>
          <w:numId w:val="0"/>
        </w:numPr>
        <w:ind w:firstLine="420" w:firstLineChars="200"/>
        <w:rPr>
          <w:rFonts w:hint="default" w:hAnsi="黑体" w:eastAsia="黑体"/>
          <w:lang w:val="en-US" w:eastAsia="zh-CN"/>
        </w:rPr>
      </w:pPr>
      <w:r>
        <w:rPr>
          <w:rFonts w:hint="eastAsia" w:hAnsi="黑体"/>
        </w:rPr>
        <w:t>正向进水    Forw</w:t>
      </w:r>
      <w:r>
        <w:rPr>
          <w:rFonts w:hint="eastAsia" w:hAnsi="黑体"/>
          <w:lang w:val="en-US" w:eastAsia="zh-CN"/>
        </w:rPr>
        <w:t>a</w:t>
      </w:r>
      <w:r>
        <w:rPr>
          <w:rFonts w:hint="eastAsia" w:hAnsi="黑体"/>
        </w:rPr>
        <w:t>rd inflow</w:t>
      </w:r>
      <w:r>
        <w:rPr>
          <w:rFonts w:hint="eastAsia" w:hAnsi="黑体"/>
          <w:lang w:val="en-US" w:eastAsia="zh-CN"/>
        </w:rPr>
        <w:t xml:space="preserve"> </w:t>
      </w:r>
    </w:p>
    <w:p>
      <w:pPr>
        <w:pStyle w:val="20"/>
        <w:rPr>
          <w:rFonts w:hAnsi="黑体"/>
        </w:rPr>
      </w:pPr>
      <w:r>
        <w:rPr>
          <w:rFonts w:hint="eastAsia"/>
        </w:rPr>
        <w:t>分水渠道水流方向与</w:t>
      </w:r>
      <w:r>
        <w:rPr>
          <w:rFonts w:hint="eastAsia"/>
          <w:lang w:val="en-US" w:eastAsia="zh-CN"/>
        </w:rPr>
        <w:t>上级</w:t>
      </w:r>
      <w:r>
        <w:rPr>
          <w:rFonts w:hint="eastAsia"/>
        </w:rPr>
        <w:t>渠道水流方向的角度为0</w:t>
      </w:r>
      <w:r>
        <w:rPr>
          <w:rFonts w:hint="eastAsia" w:ascii="微软雅黑" w:hAnsi="微软雅黑" w:eastAsia="微软雅黑" w:cs="微软雅黑"/>
        </w:rPr>
        <w:t>°</w:t>
      </w:r>
      <w:r>
        <w:rPr>
          <w:rFonts w:hint="eastAsia"/>
        </w:rPr>
        <w:t>或接近于0</w:t>
      </w:r>
      <w:r>
        <w:rPr>
          <w:rFonts w:hint="eastAsia" w:ascii="微软雅黑" w:hAnsi="微软雅黑" w:eastAsia="微软雅黑" w:cs="微软雅黑"/>
        </w:rPr>
        <w:t>°</w:t>
      </w:r>
      <w:r>
        <w:rPr>
          <w:rFonts w:hint="eastAsia"/>
        </w:rPr>
        <w:t>。</w:t>
      </w:r>
    </w:p>
    <w:p>
      <w:pPr>
        <w:pStyle w:val="19"/>
        <w:rPr>
          <w:rFonts w:hint="eastAsia"/>
        </w:rPr>
      </w:pPr>
    </w:p>
    <w:p>
      <w:pPr>
        <w:pStyle w:val="19"/>
        <w:numPr>
          <w:ilvl w:val="0"/>
          <w:numId w:val="0"/>
        </w:numPr>
        <w:ind w:firstLine="420" w:firstLineChars="200"/>
      </w:pPr>
      <w:r>
        <w:rPr>
          <w:rFonts w:hint="eastAsia"/>
        </w:rPr>
        <w:t>明渠测控协同</w:t>
      </w:r>
      <w:r>
        <w:rPr>
          <w:rFonts w:hint="eastAsia"/>
          <w:lang w:val="en-US" w:eastAsia="zh-CN"/>
        </w:rPr>
        <w:t>设备</w:t>
      </w:r>
      <w:r>
        <w:rPr>
          <w:rFonts w:hint="eastAsia"/>
        </w:rPr>
        <w:t xml:space="preserve">    </w:t>
      </w:r>
      <w:r>
        <w:t>Coordinated equipment</w:t>
      </w:r>
      <w:r>
        <w:rPr>
          <w:rFonts w:hint="eastAsia"/>
        </w:rPr>
        <w:t xml:space="preserve"> with front </w:t>
      </w:r>
      <w:r>
        <w:t xml:space="preserve">control and </w:t>
      </w:r>
      <w:r>
        <w:rPr>
          <w:rFonts w:hint="eastAsia"/>
        </w:rPr>
        <w:t xml:space="preserve">back water </w:t>
      </w:r>
      <w:r>
        <w:t>measurement</w:t>
      </w:r>
      <w:r>
        <w:rPr>
          <w:rFonts w:hint="eastAsia"/>
        </w:rPr>
        <w:t xml:space="preserve"> </w:t>
      </w:r>
      <w:r>
        <w:t>for open channel</w:t>
      </w:r>
    </w:p>
    <w:p>
      <w:pPr>
        <w:pStyle w:val="20"/>
      </w:pPr>
      <w:r>
        <w:rPr>
          <w:rFonts w:hint="eastAsia"/>
        </w:rPr>
        <w:t>自动控制分水闸和超声波测流设备前后分体安装、一体测控的</w:t>
      </w:r>
      <w:r>
        <w:rPr>
          <w:rFonts w:hint="eastAsia"/>
          <w:lang w:val="en-US" w:eastAsia="zh-CN"/>
        </w:rPr>
        <w:t>集成系统</w:t>
      </w:r>
      <w:r>
        <w:rPr>
          <w:rFonts w:hint="eastAsia"/>
        </w:rPr>
        <w:t>。</w:t>
      </w:r>
    </w:p>
    <w:p>
      <w:pPr>
        <w:pStyle w:val="19"/>
        <w:rPr>
          <w:rFonts w:hint="eastAsia"/>
        </w:rPr>
      </w:pPr>
    </w:p>
    <w:p>
      <w:pPr>
        <w:pStyle w:val="19"/>
        <w:numPr>
          <w:ilvl w:val="0"/>
          <w:numId w:val="0"/>
        </w:numPr>
        <w:ind w:firstLine="420" w:firstLineChars="200"/>
      </w:pPr>
      <w:r>
        <w:rPr>
          <w:rFonts w:hint="eastAsia"/>
        </w:rPr>
        <w:t>明渠测控一体</w:t>
      </w:r>
      <w:r>
        <w:rPr>
          <w:rFonts w:hint="eastAsia"/>
          <w:lang w:val="en-US" w:eastAsia="zh-CN"/>
        </w:rPr>
        <w:t>设备</w:t>
      </w:r>
      <w:r>
        <w:rPr>
          <w:rFonts w:hint="eastAsia"/>
        </w:rPr>
        <w:t xml:space="preserve">  </w:t>
      </w:r>
      <w:r>
        <w:t>Integrated equipment</w:t>
      </w:r>
      <w:r>
        <w:rPr>
          <w:rFonts w:hint="eastAsia"/>
        </w:rPr>
        <w:t xml:space="preserve"> with</w:t>
      </w:r>
      <w:r>
        <w:t xml:space="preserve"> </w:t>
      </w:r>
      <w:r>
        <w:rPr>
          <w:rFonts w:hint="eastAsia"/>
        </w:rPr>
        <w:t xml:space="preserve">front water </w:t>
      </w:r>
      <w:r>
        <w:t xml:space="preserve">measurement and </w:t>
      </w:r>
      <w:r>
        <w:rPr>
          <w:rFonts w:hint="eastAsia"/>
        </w:rPr>
        <w:t xml:space="preserve">back </w:t>
      </w:r>
      <w:r>
        <w:t>control for open channel</w:t>
      </w:r>
    </w:p>
    <w:p>
      <w:pPr>
        <w:pStyle w:val="20"/>
        <w:rPr>
          <w:rFonts w:hint="eastAsia"/>
        </w:rPr>
      </w:pPr>
      <w:r>
        <w:rPr>
          <w:rFonts w:hint="eastAsia"/>
        </w:rPr>
        <w:t>超声波测流设备和自动控制分水闸前后一体安装、一体测控的</w:t>
      </w:r>
      <w:r>
        <w:rPr>
          <w:rFonts w:hint="eastAsia"/>
          <w:lang w:val="en-US" w:eastAsia="zh-CN"/>
        </w:rPr>
        <w:t>集成系统</w:t>
      </w:r>
      <w:r>
        <w:rPr>
          <w:rFonts w:hint="eastAsia"/>
        </w:rPr>
        <w:t>。</w:t>
      </w:r>
    </w:p>
    <w:p>
      <w:pPr>
        <w:pStyle w:val="19"/>
        <w:rPr>
          <w:rFonts w:hint="eastAsia"/>
        </w:rPr>
      </w:pPr>
    </w:p>
    <w:p>
      <w:pPr>
        <w:pStyle w:val="19"/>
        <w:numPr>
          <w:ilvl w:val="0"/>
          <w:numId w:val="0"/>
        </w:numPr>
        <w:ind w:firstLine="420" w:firstLineChars="200"/>
        <w:rPr>
          <w:rFonts w:hint="eastAsia"/>
        </w:rPr>
      </w:pPr>
      <w:r>
        <w:rPr>
          <w:rFonts w:hint="eastAsia"/>
          <w:lang w:val="en-US" w:eastAsia="zh-CN"/>
        </w:rPr>
        <w:t xml:space="preserve">明渠闸门自动化改造  </w:t>
      </w:r>
      <w:r>
        <w:rPr>
          <w:rFonts w:hint="eastAsia"/>
        </w:rPr>
        <w:t>Automation</w:t>
      </w:r>
      <w:r>
        <w:rPr>
          <w:rFonts w:hint="default"/>
        </w:rPr>
        <w:t> Transformation</w:t>
      </w:r>
      <w:r>
        <w:rPr>
          <w:rFonts w:hint="eastAsia"/>
          <w:lang w:val="en-US" w:eastAsia="zh-CN"/>
        </w:rPr>
        <w:t xml:space="preserve"> of channel</w:t>
      </w:r>
      <w:r>
        <w:rPr>
          <w:rFonts w:hint="eastAsia"/>
        </w:rPr>
        <w:t xml:space="preserve"> gate</w:t>
      </w:r>
    </w:p>
    <w:p>
      <w:pPr>
        <w:pStyle w:val="20"/>
        <w:rPr>
          <w:rFonts w:hint="eastAsia"/>
          <w:lang w:val="en-US" w:eastAsia="zh-CN"/>
        </w:rPr>
      </w:pPr>
      <w:r>
        <w:rPr>
          <w:rFonts w:hint="eastAsia"/>
          <w:lang w:val="en-US" w:eastAsia="zh-CN"/>
        </w:rPr>
        <w:t>对手动闸门安装电动启闭控制系统实现闸门运行的自动化和信息化。</w:t>
      </w:r>
    </w:p>
    <w:p>
      <w:pPr>
        <w:pStyle w:val="19"/>
        <w:rPr>
          <w:rFonts w:hint="eastAsia"/>
          <w:lang w:val="en-US" w:eastAsia="zh-CN"/>
        </w:rPr>
      </w:pPr>
    </w:p>
    <w:p>
      <w:pPr>
        <w:pStyle w:val="19"/>
        <w:numPr>
          <w:ilvl w:val="0"/>
          <w:numId w:val="0"/>
        </w:numPr>
        <w:ind w:firstLine="420" w:firstLineChars="200"/>
        <w:rPr>
          <w:rFonts w:hint="default"/>
          <w:lang w:val="en-US" w:eastAsia="zh-CN"/>
        </w:rPr>
      </w:pPr>
      <w:r>
        <w:rPr>
          <w:rFonts w:hint="eastAsia"/>
          <w:lang w:val="en-US" w:eastAsia="zh-CN"/>
        </w:rPr>
        <w:t>嵌入式安装   </w:t>
      </w:r>
      <w:r>
        <w:rPr>
          <w:rFonts w:hint="default"/>
          <w:lang w:val="en-US" w:eastAsia="zh-CN"/>
        </w:rPr>
        <w:t>Embedded installment</w:t>
      </w:r>
    </w:p>
    <w:p>
      <w:pPr>
        <w:pStyle w:val="20"/>
        <w:rPr>
          <w:rFonts w:hint="default"/>
          <w:lang w:val="en-US" w:eastAsia="zh-CN"/>
        </w:rPr>
      </w:pPr>
      <w:r>
        <w:rPr>
          <w:rFonts w:hint="eastAsia"/>
          <w:lang w:val="en-US" w:eastAsia="zh-CN"/>
        </w:rPr>
        <w:t>将明渠超声波测流设备嵌入明渠矩形测流渠段防渗结构，使设备流道内侧立面和渠底与渠道内壁在同一平面或接近于同一平面。</w:t>
      </w:r>
    </w:p>
    <w:p>
      <w:pPr>
        <w:pStyle w:val="19"/>
        <w:rPr>
          <w:rFonts w:hint="eastAsia"/>
          <w:lang w:val="en-US" w:eastAsia="zh-CN"/>
        </w:rPr>
      </w:pPr>
    </w:p>
    <w:p>
      <w:pPr>
        <w:pStyle w:val="19"/>
        <w:numPr>
          <w:ilvl w:val="0"/>
          <w:numId w:val="0"/>
        </w:numPr>
        <w:ind w:firstLine="420" w:firstLineChars="200"/>
        <w:rPr>
          <w:rFonts w:hint="default"/>
          <w:lang w:val="en-US" w:eastAsia="zh-CN"/>
        </w:rPr>
      </w:pPr>
      <w:r>
        <w:rPr>
          <w:rFonts w:hint="eastAsia"/>
          <w:lang w:val="en-US" w:eastAsia="zh-CN"/>
        </w:rPr>
        <w:t>渠上式安装  I</w:t>
      </w:r>
      <w:r>
        <w:rPr>
          <w:rFonts w:hint="default"/>
          <w:lang w:val="en-US" w:eastAsia="zh-CN"/>
        </w:rPr>
        <w:t>nstallment</w:t>
      </w:r>
      <w:r>
        <w:rPr>
          <w:rFonts w:hint="eastAsia"/>
          <w:lang w:val="en-US" w:eastAsia="zh-CN"/>
        </w:rPr>
        <w:t xml:space="preserve"> on channels</w:t>
      </w:r>
    </w:p>
    <w:p>
      <w:pPr>
        <w:pStyle w:val="20"/>
        <w:rPr>
          <w:rFonts w:hint="default"/>
          <w:lang w:val="en-US" w:eastAsia="zh-CN"/>
        </w:rPr>
      </w:pPr>
      <w:r>
        <w:rPr>
          <w:rFonts w:hint="eastAsia"/>
          <w:lang w:val="en-US" w:eastAsia="zh-CN"/>
        </w:rPr>
        <w:t>将明渠超声波测流设备安装在明渠矩形测流渠段，设备流道内侧立面凸出于渠道内壁。</w:t>
      </w:r>
    </w:p>
    <w:p>
      <w:pPr>
        <w:pStyle w:val="21"/>
        <w:outlineLvl w:val="0"/>
        <w:rPr>
          <w:szCs w:val="21"/>
        </w:rPr>
      </w:pPr>
      <w:bookmarkStart w:id="64" w:name="_Toc481750155"/>
      <w:bookmarkStart w:id="65" w:name="_Toc470610473"/>
      <w:bookmarkStart w:id="66" w:name="_Toc3067"/>
      <w:bookmarkStart w:id="67" w:name="_Toc481932513"/>
      <w:bookmarkStart w:id="68" w:name="_Toc470609816"/>
      <w:bookmarkStart w:id="69" w:name="_Toc18536"/>
      <w:bookmarkStart w:id="70" w:name="_Toc481750293"/>
      <w:bookmarkStart w:id="71" w:name="_Toc481932929"/>
      <w:r>
        <w:rPr>
          <w:rFonts w:hint="eastAsia"/>
          <w:szCs w:val="21"/>
        </w:rPr>
        <w:t>工程规划</w:t>
      </w:r>
      <w:bookmarkEnd w:id="64"/>
      <w:bookmarkEnd w:id="65"/>
      <w:bookmarkEnd w:id="66"/>
      <w:bookmarkEnd w:id="67"/>
      <w:bookmarkEnd w:id="68"/>
      <w:bookmarkEnd w:id="69"/>
      <w:bookmarkEnd w:id="70"/>
      <w:bookmarkEnd w:id="71"/>
    </w:p>
    <w:p>
      <w:pPr>
        <w:pStyle w:val="19"/>
        <w:outlineLvl w:val="1"/>
      </w:pPr>
      <w:bookmarkStart w:id="72" w:name="_Toc470610474"/>
      <w:bookmarkStart w:id="73" w:name="_Toc1829"/>
      <w:bookmarkStart w:id="74" w:name="_Toc24849"/>
      <w:bookmarkStart w:id="75" w:name="_Toc481750156"/>
      <w:bookmarkStart w:id="76" w:name="_Toc470609817"/>
      <w:bookmarkStart w:id="77" w:name="_Toc481750294"/>
      <w:bookmarkStart w:id="78" w:name="_Toc481932930"/>
      <w:bookmarkStart w:id="79" w:name="_Toc481932514"/>
      <w:r>
        <w:rPr>
          <w:rFonts w:hint="eastAsia"/>
        </w:rPr>
        <w:t>一般规定</w:t>
      </w:r>
      <w:bookmarkEnd w:id="72"/>
      <w:bookmarkEnd w:id="73"/>
      <w:bookmarkEnd w:id="74"/>
      <w:bookmarkEnd w:id="75"/>
      <w:bookmarkEnd w:id="76"/>
      <w:bookmarkEnd w:id="77"/>
      <w:bookmarkEnd w:id="78"/>
      <w:bookmarkEnd w:id="79"/>
    </w:p>
    <w:p>
      <w:pPr>
        <w:pStyle w:val="22"/>
        <w:spacing w:before="156" w:after="156"/>
        <w:ind w:left="0"/>
        <w:jc w:val="both"/>
        <w:rPr>
          <w:rFonts w:hint="eastAsia" w:ascii="宋体" w:hAnsi="宋体" w:eastAsia="宋体"/>
        </w:rPr>
      </w:pPr>
      <w:bookmarkStart w:id="80" w:name="OLE_LINK3"/>
      <w:bookmarkStart w:id="81" w:name="OLE_LINK4"/>
      <w:r>
        <w:rPr>
          <w:rFonts w:hint="eastAsia" w:ascii="宋体" w:hAnsi="宋体" w:eastAsia="宋体"/>
        </w:rPr>
        <w:t>应符合当地农田水利发展规划要求，与现状灌溉排水渠系、水利工程、闸控设备等基础设施相协调。</w:t>
      </w:r>
    </w:p>
    <w:p>
      <w:pPr>
        <w:pStyle w:val="22"/>
        <w:spacing w:before="156" w:after="156"/>
        <w:ind w:left="0"/>
        <w:jc w:val="both"/>
        <w:rPr>
          <w:rFonts w:hint="eastAsia" w:ascii="宋体" w:hAnsi="宋体" w:eastAsia="宋体"/>
        </w:rPr>
      </w:pPr>
      <w:r>
        <w:rPr>
          <w:rFonts w:hint="eastAsia" w:ascii="宋体" w:hAnsi="宋体" w:eastAsia="宋体"/>
          <w:lang w:val="en-US" w:eastAsia="zh-CN"/>
        </w:rPr>
        <w:t>遵循总体规划、分布</w:t>
      </w:r>
      <w:bookmarkStart w:id="115" w:name="_GoBack"/>
      <w:bookmarkEnd w:id="115"/>
      <w:r>
        <w:rPr>
          <w:rFonts w:hint="eastAsia" w:ascii="宋体" w:hAnsi="宋体" w:eastAsia="宋体"/>
          <w:lang w:val="en-US" w:eastAsia="zh-CN"/>
        </w:rPr>
        <w:t>实施的原则。</w:t>
      </w:r>
    </w:p>
    <w:p>
      <w:pPr>
        <w:pStyle w:val="22"/>
        <w:spacing w:before="156" w:after="156"/>
        <w:ind w:left="0"/>
        <w:jc w:val="both"/>
        <w:rPr>
          <w:rFonts w:ascii="宋体" w:hAnsi="宋体" w:eastAsia="宋体"/>
        </w:rPr>
      </w:pPr>
      <w:r>
        <w:rPr>
          <w:rFonts w:ascii="宋体" w:hAnsi="宋体" w:eastAsia="宋体"/>
        </w:rPr>
        <w:t>工程布局应有利于渠道测流段形成稳定流态，提高测量精度。</w:t>
      </w:r>
    </w:p>
    <w:p>
      <w:pPr>
        <w:pStyle w:val="22"/>
        <w:spacing w:before="156" w:after="156"/>
        <w:ind w:left="0"/>
        <w:rPr>
          <w:rFonts w:ascii="宋体" w:hAnsi="宋体" w:eastAsia="宋体"/>
        </w:rPr>
      </w:pPr>
      <w:r>
        <w:rPr>
          <w:rFonts w:hint="eastAsia" w:ascii="宋体" w:hAnsi="宋体" w:eastAsia="宋体"/>
        </w:rPr>
        <w:t>引黄灌区超声波测流工程布置应有利于减少泥沙淤积</w:t>
      </w:r>
      <w:bookmarkStart w:id="82" w:name="_Hlk91851756"/>
      <w:r>
        <w:rPr>
          <w:rFonts w:hint="eastAsia" w:ascii="宋体" w:hAnsi="宋体" w:eastAsia="宋体"/>
        </w:rPr>
        <w:t>、漂浮物通过</w:t>
      </w:r>
      <w:bookmarkEnd w:id="82"/>
      <w:r>
        <w:rPr>
          <w:rFonts w:hint="eastAsia" w:ascii="宋体" w:hAnsi="宋体" w:eastAsia="宋体"/>
        </w:rPr>
        <w:t>。</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引黄灌区超声波测流工程布置</w:t>
      </w:r>
      <w:r>
        <w:rPr>
          <w:rFonts w:hint="eastAsia" w:ascii="宋体" w:hAnsi="宋体" w:eastAsia="宋体"/>
        </w:rPr>
        <w:t>应便于施工，便于运行维护</w:t>
      </w:r>
      <w:r>
        <w:rPr>
          <w:rFonts w:hint="eastAsia" w:ascii="宋体" w:hAnsi="宋体" w:eastAsia="宋体"/>
          <w:color w:val="000000" w:themeColor="text1"/>
          <w14:textFill>
            <w14:solidFill>
              <w14:schemeClr w14:val="tx1"/>
            </w14:solidFill>
          </w14:textFill>
        </w:rPr>
        <w:t>。</w:t>
      </w:r>
      <w:bookmarkEnd w:id="80"/>
      <w:bookmarkEnd w:id="81"/>
    </w:p>
    <w:p>
      <w:pPr>
        <w:pStyle w:val="19"/>
        <w:outlineLvl w:val="1"/>
        <w:rPr>
          <w:color w:val="000000" w:themeColor="text1"/>
          <w14:textFill>
            <w14:solidFill>
              <w14:schemeClr w14:val="tx1"/>
            </w14:solidFill>
          </w14:textFill>
        </w:rPr>
      </w:pPr>
      <w:bookmarkStart w:id="83" w:name="_Toc3146"/>
      <w:bookmarkStart w:id="84" w:name="_Toc481932933"/>
      <w:bookmarkStart w:id="85" w:name="_Toc24936"/>
      <w:bookmarkStart w:id="86" w:name="_Toc481932517"/>
      <w:r>
        <w:rPr>
          <w:rFonts w:hint="eastAsia"/>
          <w:color w:val="000000" w:themeColor="text1"/>
          <w14:textFill>
            <w14:solidFill>
              <w14:schemeClr w14:val="tx1"/>
            </w14:solidFill>
          </w14:textFill>
        </w:rPr>
        <w:t>工程级别</w:t>
      </w:r>
      <w:bookmarkEnd w:id="83"/>
      <w:bookmarkEnd w:id="84"/>
      <w:bookmarkEnd w:id="85"/>
      <w:bookmarkEnd w:id="86"/>
    </w:p>
    <w:p>
      <w:pPr>
        <w:ind w:firstLine="420" w:firstLineChars="200"/>
        <w:rPr>
          <w:rFonts w:ascii="宋体" w:hAnsi="宋体"/>
          <w:szCs w:val="21"/>
        </w:rPr>
      </w:pPr>
      <w:r>
        <w:rPr>
          <w:rFonts w:hint="eastAsia"/>
        </w:rPr>
        <w:t>明渠超声波测流工程级别分为一等、二等和三等，详见表1。</w:t>
      </w:r>
    </w:p>
    <w:p>
      <w:pPr>
        <w:pStyle w:val="20"/>
        <w:ind w:firstLine="0" w:firstLineChars="0"/>
        <w:jc w:val="center"/>
        <w:rPr>
          <w:rFonts w:ascii="黑体" w:hAnsi="黑体" w:eastAsia="黑体" w:cs="黑体"/>
          <w:color w:val="FF0000"/>
          <w:szCs w:val="21"/>
        </w:rPr>
      </w:pPr>
      <w:r>
        <w:rPr>
          <w:rFonts w:hint="eastAsia" w:ascii="黑体" w:hAnsi="黑体" w:eastAsia="黑体" w:cs="黑体"/>
          <w:szCs w:val="21"/>
        </w:rPr>
        <w:t xml:space="preserve">表1  </w:t>
      </w:r>
      <w:r>
        <w:rPr>
          <w:rFonts w:hint="eastAsia" w:ascii="黑体" w:hAnsi="黑体" w:eastAsia="黑体" w:cs="黑体"/>
          <w:szCs w:val="21"/>
          <w:lang w:val="en-US" w:eastAsia="zh-CN"/>
        </w:rPr>
        <w:t>明渠测流工程</w:t>
      </w:r>
      <w:r>
        <w:rPr>
          <w:rFonts w:hint="eastAsia" w:ascii="黑体" w:hAnsi="黑体" w:eastAsia="黑体" w:cs="黑体"/>
          <w:szCs w:val="21"/>
        </w:rPr>
        <w:t>级别</w:t>
      </w: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4"/>
        <w:gridCol w:w="2074"/>
        <w:gridCol w:w="2134"/>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2304" w:type="dxa"/>
            <w:vAlign w:val="center"/>
          </w:tcPr>
          <w:p>
            <w:pPr>
              <w:pStyle w:val="20"/>
              <w:widowControl/>
              <w:ind w:firstLine="0" w:firstLineChars="0"/>
              <w:jc w:val="center"/>
              <w:rPr>
                <w:rFonts w:hAnsi="宋体"/>
                <w:sz w:val="18"/>
                <w:szCs w:val="18"/>
              </w:rPr>
            </w:pPr>
            <w:r>
              <w:rPr>
                <w:rFonts w:hint="eastAsia" w:hAnsi="宋体" w:cs="宋体"/>
                <w:sz w:val="18"/>
                <w:szCs w:val="18"/>
              </w:rPr>
              <w:t>渠道级别</w:t>
            </w:r>
          </w:p>
        </w:tc>
        <w:tc>
          <w:tcPr>
            <w:tcW w:w="2074" w:type="dxa"/>
            <w:vAlign w:val="center"/>
          </w:tcPr>
          <w:p>
            <w:pPr>
              <w:pStyle w:val="20"/>
              <w:widowControl/>
              <w:ind w:firstLine="0" w:firstLineChars="0"/>
              <w:jc w:val="center"/>
              <w:rPr>
                <w:rFonts w:hAnsi="宋体"/>
                <w:sz w:val="18"/>
                <w:szCs w:val="18"/>
              </w:rPr>
            </w:pPr>
            <w:r>
              <w:rPr>
                <w:rFonts w:hint="eastAsia" w:hAnsi="宋体"/>
                <w:sz w:val="18"/>
                <w:szCs w:val="18"/>
              </w:rPr>
              <w:t>一级</w:t>
            </w:r>
          </w:p>
        </w:tc>
        <w:tc>
          <w:tcPr>
            <w:tcW w:w="2134" w:type="dxa"/>
            <w:vAlign w:val="center"/>
          </w:tcPr>
          <w:p>
            <w:pPr>
              <w:pStyle w:val="20"/>
              <w:widowControl/>
              <w:ind w:firstLine="0" w:firstLineChars="0"/>
              <w:jc w:val="center"/>
              <w:rPr>
                <w:rFonts w:hAnsi="宋体"/>
                <w:sz w:val="18"/>
                <w:szCs w:val="18"/>
              </w:rPr>
            </w:pPr>
            <w:r>
              <w:rPr>
                <w:rFonts w:hint="eastAsia" w:hAnsi="宋体"/>
                <w:sz w:val="18"/>
                <w:szCs w:val="18"/>
              </w:rPr>
              <w:t>二级</w:t>
            </w:r>
          </w:p>
        </w:tc>
        <w:tc>
          <w:tcPr>
            <w:tcW w:w="1753" w:type="dxa"/>
            <w:vAlign w:val="center"/>
          </w:tcPr>
          <w:p>
            <w:pPr>
              <w:pStyle w:val="20"/>
              <w:widowControl/>
              <w:ind w:firstLine="0" w:firstLineChars="0"/>
              <w:jc w:val="center"/>
              <w:rPr>
                <w:rFonts w:hAnsi="宋体"/>
                <w:sz w:val="18"/>
                <w:szCs w:val="18"/>
              </w:rPr>
            </w:pPr>
            <w:r>
              <w:rPr>
                <w:rFonts w:hAnsi="宋体"/>
                <w:sz w:val="18"/>
                <w:szCs w:val="1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2304" w:type="dxa"/>
            <w:vAlign w:val="center"/>
          </w:tcPr>
          <w:p>
            <w:pPr>
              <w:pStyle w:val="20"/>
              <w:widowControl/>
              <w:spacing w:line="320" w:lineRule="exact"/>
              <w:ind w:firstLine="0" w:firstLineChars="0"/>
              <w:jc w:val="center"/>
              <w:rPr>
                <w:rFonts w:hAnsi="宋体"/>
                <w:sz w:val="18"/>
                <w:szCs w:val="18"/>
              </w:rPr>
            </w:pPr>
            <w:r>
              <w:rPr>
                <w:rFonts w:hint="eastAsia" w:hAnsi="宋体" w:cs="宋体"/>
                <w:sz w:val="18"/>
                <w:szCs w:val="18"/>
              </w:rPr>
              <w:t>渠道设计流量</w:t>
            </w:r>
            <w:r>
              <w:rPr>
                <w:rFonts w:hint="eastAsia" w:hAnsi="宋体"/>
                <w:sz w:val="18"/>
                <w:szCs w:val="18"/>
              </w:rPr>
              <w:t>Q</w:t>
            </w:r>
            <w:r>
              <w:rPr>
                <w:rFonts w:hint="eastAsia" w:hAnsi="宋体" w:cs="宋体"/>
                <w:sz w:val="18"/>
                <w:szCs w:val="18"/>
              </w:rPr>
              <w:t>(m</w:t>
            </w:r>
            <w:r>
              <w:rPr>
                <w:rFonts w:hint="eastAsia" w:hAnsi="宋体" w:cs="宋体"/>
                <w:sz w:val="18"/>
                <w:szCs w:val="18"/>
                <w:vertAlign w:val="superscript"/>
              </w:rPr>
              <w:t>3</w:t>
            </w:r>
            <w:r>
              <w:rPr>
                <w:rFonts w:hint="eastAsia" w:hAnsi="宋体" w:cs="宋体"/>
                <w:sz w:val="18"/>
                <w:szCs w:val="18"/>
              </w:rPr>
              <w:t>/s)</w:t>
            </w:r>
          </w:p>
        </w:tc>
        <w:tc>
          <w:tcPr>
            <w:tcW w:w="2074" w:type="dxa"/>
            <w:vAlign w:val="center"/>
          </w:tcPr>
          <w:p>
            <w:pPr>
              <w:ind w:left="-13" w:leftChars="-44" w:right="-107" w:rightChars="-51" w:hanging="79" w:hangingChars="44"/>
              <w:jc w:val="center"/>
              <w:rPr>
                <w:rFonts w:ascii="宋体" w:hAnsi="宋体"/>
                <w:sz w:val="18"/>
                <w:szCs w:val="18"/>
              </w:rPr>
            </w:pPr>
            <w:r>
              <w:rPr>
                <w:rFonts w:hint="eastAsia" w:ascii="宋体" w:hAnsi="宋体"/>
                <w:sz w:val="18"/>
                <w:szCs w:val="18"/>
              </w:rPr>
              <w:t>Q≤5</w:t>
            </w:r>
          </w:p>
        </w:tc>
        <w:tc>
          <w:tcPr>
            <w:tcW w:w="2134" w:type="dxa"/>
            <w:vAlign w:val="center"/>
          </w:tcPr>
          <w:p>
            <w:pPr>
              <w:jc w:val="center"/>
              <w:rPr>
                <w:rFonts w:ascii="宋体" w:hAnsi="宋体"/>
                <w:sz w:val="18"/>
                <w:szCs w:val="18"/>
              </w:rPr>
            </w:pPr>
            <w:r>
              <w:rPr>
                <w:rFonts w:hint="eastAsia" w:ascii="宋体" w:hAnsi="宋体"/>
                <w:sz w:val="18"/>
                <w:szCs w:val="18"/>
              </w:rPr>
              <w:t>20＞Q≥5</w:t>
            </w:r>
          </w:p>
        </w:tc>
        <w:tc>
          <w:tcPr>
            <w:tcW w:w="1753" w:type="dxa"/>
            <w:vAlign w:val="center"/>
          </w:tcPr>
          <w:p>
            <w:pPr>
              <w:jc w:val="center"/>
              <w:rPr>
                <w:rFonts w:ascii="宋体" w:hAnsi="宋体"/>
                <w:sz w:val="18"/>
                <w:szCs w:val="18"/>
              </w:rPr>
            </w:pPr>
            <w:r>
              <w:rPr>
                <w:rFonts w:hint="eastAsia" w:ascii="宋体" w:hAnsi="宋体"/>
                <w:sz w:val="18"/>
                <w:szCs w:val="18"/>
              </w:rPr>
              <w:t>100＞Q≥20</w:t>
            </w:r>
          </w:p>
        </w:tc>
      </w:tr>
    </w:tbl>
    <w:p>
      <w:pPr>
        <w:pStyle w:val="19"/>
        <w:outlineLvl w:val="1"/>
        <w:rPr>
          <w:color w:val="000000" w:themeColor="text1"/>
          <w14:textFill>
            <w14:solidFill>
              <w14:schemeClr w14:val="tx1"/>
            </w14:solidFill>
          </w14:textFill>
        </w:rPr>
      </w:pPr>
      <w:bookmarkStart w:id="87" w:name="_Toc3465"/>
      <w:bookmarkStart w:id="88" w:name="_Toc13151"/>
      <w:r>
        <w:rPr>
          <w:rFonts w:hint="eastAsia"/>
          <w:color w:val="000000" w:themeColor="text1"/>
          <w14:textFill>
            <w14:solidFill>
              <w14:schemeClr w14:val="tx1"/>
            </w14:solidFill>
          </w14:textFill>
        </w:rPr>
        <w:t>基本资料</w:t>
      </w:r>
      <w:bookmarkEnd w:id="87"/>
      <w:bookmarkEnd w:id="88"/>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宜收集渠道水源泥沙含量、运行最大流量、运行最小流量、设计流量等资料。</w:t>
      </w:r>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应收集渠道控制灌溉面积、灌水率、设计水位、比降、底宽、渠深、边坡等设计</w:t>
      </w:r>
      <w:r>
        <w:rPr>
          <w:rFonts w:hint="eastAsia" w:ascii="宋体" w:hAnsi="宋体" w:eastAsia="宋体"/>
          <w:color w:val="000000" w:themeColor="text1"/>
          <w:lang w:val="en-US" w:eastAsia="zh-CN"/>
          <w14:textFill>
            <w14:solidFill>
              <w14:schemeClr w14:val="tx1"/>
            </w14:solidFill>
          </w14:textFill>
        </w:rPr>
        <w:t>资料</w:t>
      </w:r>
      <w:r>
        <w:rPr>
          <w:rFonts w:hint="eastAsia" w:ascii="宋体" w:hAnsi="宋体" w:eastAsia="宋体"/>
          <w:color w:val="000000" w:themeColor="text1"/>
          <w14:textFill>
            <w14:solidFill>
              <w14:schemeClr w14:val="tx1"/>
            </w14:solidFill>
          </w14:textFill>
        </w:rPr>
        <w:t>或竣工资料。</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应收集渠道分水口与上级渠道的工程布置资料以及正向进水、侧向进水等分水方式资料</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应收集渠道防渗工程类型、防渗结构等工程资料。</w:t>
      </w:r>
    </w:p>
    <w:p>
      <w:pPr>
        <w:pStyle w:val="19"/>
        <w:outlineLvl w:val="1"/>
        <w:rPr>
          <w:color w:val="000000" w:themeColor="text1"/>
          <w14:textFill>
            <w14:solidFill>
              <w14:schemeClr w14:val="tx1"/>
            </w14:solidFill>
          </w14:textFill>
        </w:rPr>
      </w:pPr>
      <w:bookmarkStart w:id="89" w:name="_Toc481750295"/>
      <w:bookmarkStart w:id="90" w:name="_Toc481932931"/>
      <w:bookmarkStart w:id="91" w:name="_Toc481932515"/>
      <w:bookmarkStart w:id="92" w:name="_Toc481750157"/>
      <w:bookmarkStart w:id="93" w:name="_Toc2883"/>
      <w:bookmarkStart w:id="94" w:name="_Toc13799"/>
      <w:bookmarkStart w:id="95" w:name="_Hlk91851785"/>
      <w:bookmarkStart w:id="96" w:name="_Hlk91779924"/>
      <w:r>
        <w:rPr>
          <w:rFonts w:hint="eastAsia"/>
          <w:color w:val="000000" w:themeColor="text1"/>
          <w14:textFill>
            <w14:solidFill>
              <w14:schemeClr w14:val="tx1"/>
            </w14:solidFill>
          </w14:textFill>
        </w:rPr>
        <w:t>技术</w:t>
      </w:r>
      <w:bookmarkEnd w:id="89"/>
      <w:bookmarkEnd w:id="90"/>
      <w:bookmarkEnd w:id="91"/>
      <w:bookmarkEnd w:id="92"/>
      <w:r>
        <w:rPr>
          <w:rFonts w:hint="eastAsia"/>
          <w:color w:val="000000" w:themeColor="text1"/>
          <w14:textFill>
            <w14:solidFill>
              <w14:schemeClr w14:val="tx1"/>
            </w14:solidFill>
          </w14:textFill>
        </w:rPr>
        <w:t>要求</w:t>
      </w:r>
      <w:bookmarkEnd w:id="93"/>
      <w:bookmarkEnd w:id="94"/>
    </w:p>
    <w:bookmarkEnd w:id="95"/>
    <w:p>
      <w:pPr>
        <w:pStyle w:val="22"/>
        <w:spacing w:before="156" w:after="156"/>
        <w:ind w:left="0"/>
        <w:rPr>
          <w:rFonts w:ascii="宋体" w:hAnsi="宋体" w:eastAsia="宋体"/>
          <w:color w:val="000000" w:themeColor="text1"/>
          <w14:textFill>
            <w14:solidFill>
              <w14:schemeClr w14:val="tx1"/>
            </w14:solidFill>
          </w14:textFill>
        </w:rPr>
      </w:pPr>
      <w:bookmarkStart w:id="97" w:name="_Hlk91780067"/>
      <w:r>
        <w:rPr>
          <w:rFonts w:hint="eastAsia" w:ascii="宋体" w:hAnsi="宋体" w:eastAsia="宋体"/>
          <w:color w:val="000000" w:themeColor="text1"/>
          <w:lang w:val="en-US" w:eastAsia="zh-CN"/>
          <w14:textFill>
            <w14:solidFill>
              <w14:schemeClr w14:val="tx1"/>
            </w14:solidFill>
          </w14:textFill>
        </w:rPr>
        <w:t>宜按照灌溉管理单元整体规划渠道超声波测流工程。</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不同管理主体输配水交接断面应优先布设渠道超声波测流工程。</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应同时规划进水过渡段工程、测流断面工程和出水过渡段工程</w:t>
      </w:r>
      <w:r>
        <w:rPr>
          <w:rFonts w:hint="eastAsia" w:ascii="宋体" w:hAnsi="宋体" w:eastAsia="宋体"/>
          <w:color w:val="000000" w:themeColor="text1"/>
          <w14:textFill>
            <w14:solidFill>
              <w14:schemeClr w14:val="tx1"/>
            </w14:solidFill>
          </w14:textFill>
        </w:rPr>
        <w:t>。</w:t>
      </w:r>
    </w:p>
    <w:bookmarkEnd w:id="97"/>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明渠超声波测流工程</w:t>
      </w:r>
      <w:r>
        <w:rPr>
          <w:rFonts w:hint="eastAsia" w:ascii="宋体" w:hAnsi="宋体" w:eastAsia="宋体"/>
          <w:color w:val="000000" w:themeColor="text1"/>
          <w:lang w:val="en-US" w:eastAsia="zh-CN"/>
          <w14:textFill>
            <w14:solidFill>
              <w14:schemeClr w14:val="tx1"/>
            </w14:solidFill>
          </w14:textFill>
        </w:rPr>
        <w:t>规划</w:t>
      </w:r>
      <w:r>
        <w:rPr>
          <w:rFonts w:hint="eastAsia" w:ascii="宋体" w:hAnsi="宋体" w:eastAsia="宋体"/>
          <w:color w:val="000000" w:themeColor="text1"/>
          <w14:textFill>
            <w14:solidFill>
              <w14:schemeClr w14:val="tx1"/>
            </w14:solidFill>
          </w14:textFill>
        </w:rPr>
        <w:t>流量误差不大于5%。</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明渠超声波测流设备应具有数据远程传输功能或边缘设备集中远程传输功能。</w:t>
      </w:r>
    </w:p>
    <w:bookmarkEnd w:id="96"/>
    <w:p>
      <w:pPr>
        <w:pStyle w:val="21"/>
        <w:outlineLvl w:val="0"/>
        <w:rPr>
          <w:szCs w:val="21"/>
        </w:rPr>
      </w:pPr>
      <w:bookmarkStart w:id="98" w:name="_Toc481932935"/>
      <w:bookmarkStart w:id="99" w:name="_Toc481932519"/>
      <w:bookmarkStart w:id="100" w:name="_Toc481750161"/>
      <w:bookmarkStart w:id="101" w:name="_Toc17029"/>
      <w:bookmarkStart w:id="102" w:name="_Toc2592"/>
      <w:bookmarkStart w:id="103" w:name="_Toc481750299"/>
      <w:r>
        <w:rPr>
          <w:rFonts w:hint="eastAsia"/>
          <w:szCs w:val="21"/>
        </w:rPr>
        <w:t>工程设计</w:t>
      </w:r>
      <w:bookmarkEnd w:id="98"/>
      <w:bookmarkEnd w:id="99"/>
      <w:bookmarkEnd w:id="100"/>
      <w:bookmarkEnd w:id="101"/>
      <w:bookmarkEnd w:id="102"/>
      <w:bookmarkEnd w:id="103"/>
    </w:p>
    <w:p>
      <w:pPr>
        <w:pStyle w:val="19"/>
        <w:outlineLvl w:val="1"/>
      </w:pPr>
      <w:bookmarkStart w:id="104" w:name="_Toc28705"/>
      <w:bookmarkStart w:id="105" w:name="_Toc481932936"/>
      <w:bookmarkStart w:id="106" w:name="_Toc481932520"/>
      <w:bookmarkStart w:id="107" w:name="_Toc4410"/>
      <w:r>
        <w:rPr>
          <w:rFonts w:hint="eastAsia"/>
        </w:rPr>
        <w:t>一般规定</w:t>
      </w:r>
      <w:bookmarkEnd w:id="104"/>
      <w:bookmarkEnd w:id="105"/>
      <w:bookmarkEnd w:id="106"/>
      <w:bookmarkEnd w:id="107"/>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按照GB</w:t>
      </w:r>
      <w:r>
        <w:rPr>
          <w:rFonts w:hint="eastAsia" w:ascii="宋体" w:hAnsi="宋体" w:eastAsia="宋体"/>
          <w:color w:val="000000" w:themeColor="text1"/>
          <w:lang w:val="en-US" w:eastAsia="zh-CN"/>
          <w14:textFill>
            <w14:solidFill>
              <w14:schemeClr w14:val="tx1"/>
            </w14:solidFill>
          </w14:textFill>
        </w:rPr>
        <w:t>/T</w:t>
      </w:r>
      <w:r>
        <w:rPr>
          <w:rFonts w:hint="eastAsia"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lang w:val="en-US" w:eastAsia="zh-CN"/>
          <w14:textFill>
            <w14:solidFill>
              <w14:schemeClr w14:val="tx1"/>
            </w14:solidFill>
          </w14:textFill>
        </w:rPr>
        <w:t>28714</w:t>
      </w:r>
      <w:r>
        <w:rPr>
          <w:rFonts w:hint="eastAsia" w:ascii="宋体" w:hAnsi="宋体" w:eastAsia="宋体"/>
          <w:color w:val="000000" w:themeColor="text1"/>
          <w14:textFill>
            <w14:solidFill>
              <w14:schemeClr w14:val="tx1"/>
            </w14:solidFill>
          </w14:textFill>
        </w:rPr>
        <w:t>的有关规定执行。</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明渠超声波测流设备宜与明渠闸门自动化改造、闸门自动化控制一体化设计。</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应当依据分水口水力学条件优化选型明渠超声波测流设备类型</w:t>
      </w:r>
      <w:r>
        <w:rPr>
          <w:rFonts w:hint="eastAsia" w:ascii="宋体" w:hAnsi="宋体" w:eastAsia="宋体"/>
          <w:color w:val="000000" w:themeColor="text1"/>
          <w14:textFill>
            <w14:solidFill>
              <w14:schemeClr w14:val="tx1"/>
            </w14:solidFill>
          </w14:textFill>
        </w:rPr>
        <w:t>。</w:t>
      </w:r>
    </w:p>
    <w:p>
      <w:pPr>
        <w:pStyle w:val="22"/>
        <w:spacing w:before="156" w:after="156"/>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工程设计应包含进水过渡段工程、出水过渡段工程等配套工程</w:t>
      </w:r>
      <w:r>
        <w:rPr>
          <w:rFonts w:hint="eastAsia" w:ascii="宋体" w:hAnsi="宋体" w:eastAsia="宋体"/>
          <w:color w:val="000000" w:themeColor="text1"/>
          <w14:textFill>
            <w14:solidFill>
              <w14:schemeClr w14:val="tx1"/>
            </w14:solidFill>
          </w14:textFill>
        </w:rPr>
        <w:t>。</w:t>
      </w:r>
    </w:p>
    <w:p>
      <w:pPr>
        <w:pStyle w:val="19"/>
        <w:outlineLvl w:val="1"/>
        <w:rPr>
          <w:rFonts w:hint="eastAsia"/>
        </w:rPr>
      </w:pPr>
      <w:bookmarkStart w:id="108" w:name="_Toc29636"/>
      <w:r>
        <w:rPr>
          <w:rFonts w:hint="eastAsia"/>
          <w:lang w:val="en-US" w:eastAsia="zh-CN"/>
        </w:rPr>
        <w:t>设备选型</w:t>
      </w:r>
      <w:bookmarkEnd w:id="108"/>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明渠测控协同设备适用于侧向进水或正向进水的分水口。</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明渠测控一体设备适用于正向进水且含沙率低于0.5g/L的分水口。</w:t>
      </w:r>
    </w:p>
    <w:p>
      <w:pPr>
        <w:pStyle w:val="22"/>
        <w:spacing w:before="156" w:after="156"/>
        <w:ind w:left="0"/>
        <w:rPr>
          <w:rFonts w:hint="eastAsia"/>
          <w:lang w:val="en-US" w:eastAsia="zh-CN"/>
        </w:rPr>
      </w:pPr>
      <w:r>
        <w:rPr>
          <w:rFonts w:hint="eastAsia" w:ascii="宋体" w:hAnsi="宋体" w:eastAsia="宋体"/>
          <w:color w:val="000000" w:themeColor="text1"/>
          <w:lang w:val="en-US" w:eastAsia="zh-CN"/>
          <w14:textFill>
            <w14:solidFill>
              <w14:schemeClr w14:val="tx1"/>
            </w14:solidFill>
          </w14:textFill>
        </w:rPr>
        <w:t>引黄灌溉渠系应优先选用明渠测控协同设备。</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渠上式安装的超声波测流设备应当配备进水口和出水口过渡结构,设备外壁与矩形测流段的缝隙不应大于5cm。</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在设计水位运行条件下超声波测流设备垂向最高位置换能器应处于淹没状态，淹没深度应不大于换能器垂向间距。</w:t>
      </w:r>
    </w:p>
    <w:p>
      <w:pPr>
        <w:pStyle w:val="19"/>
        <w:outlineLvl w:val="1"/>
        <w:rPr>
          <w:rFonts w:hint="default"/>
          <w:lang w:val="en-US" w:eastAsia="zh-CN"/>
        </w:rPr>
      </w:pPr>
      <w:bookmarkStart w:id="109" w:name="_Toc28568"/>
      <w:r>
        <w:rPr>
          <w:rFonts w:hint="eastAsia"/>
          <w:lang w:val="en-US" w:eastAsia="zh-CN"/>
        </w:rPr>
        <w:t>性能要求</w:t>
      </w:r>
      <w:bookmarkEnd w:id="109"/>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超声波换能器垂向间距不应大于10cm。</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Times New Roman" w:hAnsi="宋体" w:eastAsia="宋体"/>
          <w:lang w:val="en-US" w:eastAsia="zh-CN"/>
        </w:rPr>
        <w:t>测流设备</w:t>
      </w:r>
      <w:r>
        <w:rPr>
          <w:rFonts w:ascii="Times New Roman" w:hAnsi="宋体" w:eastAsia="宋体"/>
        </w:rPr>
        <w:t>主体结构</w:t>
      </w:r>
      <w:r>
        <w:rPr>
          <w:rFonts w:hint="eastAsia" w:ascii="Times New Roman" w:hAnsi="宋体" w:eastAsia="宋体"/>
        </w:rPr>
        <w:t>宜</w:t>
      </w:r>
      <w:r>
        <w:rPr>
          <w:rFonts w:ascii="Times New Roman" w:hAnsi="宋体" w:eastAsia="宋体"/>
        </w:rPr>
        <w:t>选用铝合金或不锈钢</w:t>
      </w:r>
      <w:r>
        <w:rPr>
          <w:rFonts w:hint="eastAsia" w:ascii="Times New Roman" w:hAnsi="宋体" w:eastAsia="宋体"/>
        </w:rPr>
        <w:t>等材质</w:t>
      </w:r>
      <w:r>
        <w:rPr>
          <w:rFonts w:ascii="Times New Roman" w:hAnsi="宋体" w:eastAsia="宋体"/>
        </w:rPr>
        <w:t>制造</w:t>
      </w:r>
      <w:r>
        <w:rPr>
          <w:rFonts w:hint="eastAsia" w:ascii="Times New Roman" w:hAnsi="宋体" w:eastAsia="宋体"/>
          <w:lang w:eastAsia="zh-CN"/>
        </w:rPr>
        <w:t>。</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太阳能供电系统阴天工作时长不低于30天，电池应满足长年运行的物候条件要求。</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采集端应配备显示器，应包含系统工况、运行数据、设备状态、系统设置等功能模块。</w:t>
      </w:r>
    </w:p>
    <w:p>
      <w:pPr>
        <w:pStyle w:val="22"/>
        <w:numPr>
          <w:ilvl w:val="0"/>
          <w:numId w:val="3"/>
        </w:numPr>
        <w:spacing w:before="156" w:after="156"/>
        <w:ind w:leftChars="0" w:firstLine="420" w:firstLineChars="20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系统工况模块应动态显示实时流量、实时水位、当日水量、本次水量、本年水量、累计水量等测流数据;</w:t>
      </w:r>
    </w:p>
    <w:p>
      <w:pPr>
        <w:pStyle w:val="22"/>
        <w:numPr>
          <w:ilvl w:val="0"/>
          <w:numId w:val="3"/>
        </w:numPr>
        <w:spacing w:before="156" w:after="156"/>
        <w:ind w:leftChars="0" w:firstLine="420" w:firstLineChars="20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运行数据模块应按照设置的时间间隔显示实时流量、实时水位、当日水量、本次水量、本年水量、累计水量等测流数据，宜采用表格或图形等显示方式。</w:t>
      </w:r>
    </w:p>
    <w:p>
      <w:pPr>
        <w:pStyle w:val="22"/>
        <w:numPr>
          <w:ilvl w:val="0"/>
          <w:numId w:val="3"/>
        </w:numPr>
        <w:spacing w:before="156" w:after="156"/>
        <w:ind w:leftChars="0" w:firstLine="420" w:firstLineChars="20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设备状态模块应显示传感器、充电、通讯等硬件状态，包括正常、故障等状态，出现故障状态应当通过及时发至和数据平台和管理员；</w:t>
      </w:r>
    </w:p>
    <w:p>
      <w:pPr>
        <w:pStyle w:val="22"/>
        <w:numPr>
          <w:ilvl w:val="0"/>
          <w:numId w:val="3"/>
        </w:numPr>
        <w:spacing w:before="156" w:after="156"/>
        <w:ind w:leftChars="0" w:firstLine="420" w:firstLineChars="20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系统设置模块宜可设置操作员、管理员等不同管理类型人员的用户名、登录密码等信息</w:t>
      </w:r>
    </w:p>
    <w:p>
      <w:pPr>
        <w:pStyle w:val="22"/>
        <w:numPr>
          <w:ilvl w:val="0"/>
          <w:numId w:val="3"/>
        </w:numPr>
        <w:spacing w:before="156" w:after="156"/>
        <w:ind w:leftChars="0" w:firstLine="420" w:firstLineChars="200"/>
        <w:rPr>
          <w:rFonts w:hint="default"/>
          <w:lang w:val="en-US" w:eastAsia="zh-CN"/>
        </w:rPr>
      </w:pPr>
      <w:r>
        <w:rPr>
          <w:rFonts w:hint="eastAsia" w:ascii="宋体" w:hAnsi="宋体" w:eastAsia="宋体"/>
          <w:color w:val="000000" w:themeColor="text1"/>
          <w:lang w:val="en-US" w:eastAsia="zh-CN"/>
          <w14:textFill>
            <w14:solidFill>
              <w14:schemeClr w14:val="tx1"/>
            </w14:solidFill>
          </w14:textFill>
        </w:rPr>
        <w:t>系统设置模块应可设置渠道结构信息、超声波设备信息等。</w:t>
      </w:r>
    </w:p>
    <w:p>
      <w:pPr>
        <w:pStyle w:val="22"/>
        <w:spacing w:before="156" w:after="156"/>
        <w:ind w:left="0"/>
        <w:rPr>
          <w:rFonts w:hint="default"/>
          <w:lang w:val="en-US" w:eastAsia="zh-CN"/>
        </w:rPr>
      </w:pPr>
      <w:r>
        <w:rPr>
          <w:rFonts w:hint="eastAsia" w:ascii="Times New Roman" w:hAnsi="宋体" w:eastAsia="宋体"/>
          <w:lang w:val="en-US" w:eastAsia="zh-CN"/>
        </w:rPr>
        <w:t>现场</w:t>
      </w:r>
      <w:r>
        <w:rPr>
          <w:rFonts w:ascii="Times New Roman" w:hAnsi="宋体" w:eastAsia="宋体"/>
        </w:rPr>
        <w:t>数据</w:t>
      </w:r>
      <w:r>
        <w:rPr>
          <w:rFonts w:hint="eastAsia" w:ascii="Times New Roman" w:hAnsi="宋体" w:eastAsia="宋体"/>
          <w:lang w:val="en-US" w:eastAsia="zh-CN"/>
        </w:rPr>
        <w:t>存储容量</w:t>
      </w:r>
      <w:r>
        <w:rPr>
          <w:rFonts w:ascii="Times New Roman" w:hAnsi="宋体" w:eastAsia="宋体"/>
        </w:rPr>
        <w:t>应不小于</w:t>
      </w:r>
      <w:r>
        <w:rPr>
          <w:rFonts w:hint="eastAsia" w:ascii="Times New Roman" w:hAnsi="宋体" w:eastAsia="宋体"/>
          <w:lang w:val="en-US" w:eastAsia="zh-CN"/>
        </w:rPr>
        <w:t>3</w:t>
      </w:r>
      <w:r>
        <w:rPr>
          <w:rFonts w:ascii="Times New Roman" w:hAnsi="宋体" w:eastAsia="宋体"/>
        </w:rPr>
        <w:t>年</w:t>
      </w:r>
      <w:r>
        <w:rPr>
          <w:rFonts w:hint="eastAsia" w:ascii="Times New Roman" w:hAnsi="宋体" w:eastAsia="宋体"/>
          <w:lang w:val="en-US" w:eastAsia="zh-CN"/>
        </w:rPr>
        <w:t>的数据累计量。</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明渠超声波测流设备出厂流量检测误差应不大于5%。</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明渠测控协同设备或明渠测控一体设备</w:t>
      </w:r>
    </w:p>
    <w:p>
      <w:pPr>
        <w:pStyle w:val="19"/>
        <w:outlineLvl w:val="1"/>
        <w:rPr>
          <w:rFonts w:hint="eastAsia"/>
          <w:lang w:val="en-US" w:eastAsia="zh-CN"/>
        </w:rPr>
      </w:pPr>
      <w:bookmarkStart w:id="110" w:name="_Toc12500"/>
      <w:r>
        <w:rPr>
          <w:rFonts w:hint="eastAsia"/>
          <w:lang w:val="en-US" w:eastAsia="zh-CN"/>
        </w:rPr>
        <w:t>工程布局设计</w:t>
      </w:r>
      <w:bookmarkEnd w:id="110"/>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梯形明渠安装超声波测流设备时应设计矩形测流段，梯形渠道断面与矩形测流段断面之间应建设过渡段。</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超声波测流段宜与超声波测流设备一体化设计。</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测流段进水口到上游换能器的距离应不小于测槽宽度（W）的3倍，下游换能器到测流段出水口的应不小于测槽宽度（W）的1倍。</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超声波测流设备宜采用嵌入式安装方式。</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水位传感器应安装于前换能器、后换能器流向距离的居中位置，并应高于设计水位和超高水位的总和。</w:t>
      </w:r>
    </w:p>
    <w:p>
      <w:pPr>
        <w:pStyle w:val="22"/>
        <w:spacing w:before="156" w:after="156"/>
        <w:ind w:left="0"/>
        <w:rPr>
          <w:rFonts w:hint="default"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矩形测流段前后距离5W距离范围无消能坎等影响水流稳定流动的渠道工程结构。</w:t>
      </w:r>
    </w:p>
    <w:p>
      <w:pPr>
        <w:pStyle w:val="22"/>
        <w:spacing w:before="156" w:after="156"/>
        <w:ind w:left="0"/>
        <w:rPr>
          <w:rFonts w:hint="default"/>
          <w:lang w:val="en-US" w:eastAsia="zh-CN"/>
        </w:rPr>
      </w:pPr>
      <w:r>
        <w:rPr>
          <w:rFonts w:hint="eastAsia" w:ascii="宋体" w:hAnsi="宋体" w:eastAsia="宋体"/>
          <w:color w:val="000000" w:themeColor="text1"/>
          <w:lang w:val="en-US" w:eastAsia="zh-CN"/>
          <w14:textFill>
            <w14:solidFill>
              <w14:schemeClr w14:val="tx1"/>
            </w14:solidFill>
          </w14:textFill>
        </w:rPr>
        <w:t>矩形测流段、进水过渡段、出水过渡段的水头损失综合应小于该渠道首末端高差的5%。</w:t>
      </w:r>
    </w:p>
    <w:p>
      <w:pPr>
        <w:pStyle w:val="21"/>
        <w:outlineLvl w:val="0"/>
        <w:rPr>
          <w:rFonts w:hint="eastAsia"/>
          <w:szCs w:val="21"/>
          <w:lang w:val="en-US" w:eastAsia="zh-CN"/>
        </w:rPr>
      </w:pPr>
      <w:bookmarkStart w:id="111" w:name="_Toc13353"/>
      <w:r>
        <w:rPr>
          <w:rFonts w:hint="eastAsia"/>
          <w:szCs w:val="21"/>
          <w:lang w:val="en-US" w:eastAsia="zh-CN"/>
        </w:rPr>
        <w:t>建设安装</w:t>
      </w:r>
      <w:bookmarkEnd w:id="111"/>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工程矩形测流段在现状渠道上改建的，应达到养护要求后，安装超声波测流设备。</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超声波换能器安装面应当保持垂直，测流设备底面应随渠道坡度安装，沿渠道剖面方向保持水平。</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超声波测流设备和矩形测流段的连接面应做止水处理。</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渠上式安装的超声波测流设备应用混凝土等材料构建渐变结构。</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连接线、连接接头应当具有</w:t>
      </w:r>
      <w:r>
        <w:rPr>
          <w:rFonts w:ascii="Times New Roman"/>
        </w:rPr>
        <w:t>GB 4208</w:t>
      </w:r>
      <w:r>
        <w:rPr>
          <w:rFonts w:hint="eastAsia" w:ascii="Times New Roman"/>
          <w:lang w:val="en-US" w:eastAsia="zh-CN"/>
        </w:rPr>
        <w:t>的</w:t>
      </w:r>
      <w:r>
        <w:rPr>
          <w:rFonts w:hint="eastAsia" w:ascii="宋体" w:hAnsi="宋体" w:eastAsia="宋体"/>
          <w:color w:val="000000" w:themeColor="text1"/>
          <w:lang w:val="en-US" w:eastAsia="zh-CN"/>
          <w14:textFill>
            <w14:solidFill>
              <w14:schemeClr w14:val="tx1"/>
            </w14:solidFill>
          </w14:textFill>
        </w:rPr>
        <w:t>IP68防水等级。</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明渠超声波测流工程应当制作安装工程铭牌，包含渠道名称、设备名称、设备编号、设备桩号、生产厂家、安装日期、设备尺寸等信息。</w:t>
      </w:r>
    </w:p>
    <w:p>
      <w:pPr>
        <w:pStyle w:val="21"/>
        <w:outlineLvl w:val="0"/>
        <w:rPr>
          <w:rFonts w:hint="eastAsia"/>
          <w:szCs w:val="21"/>
          <w:highlight w:val="none"/>
          <w:lang w:val="en-US" w:eastAsia="zh-CN"/>
        </w:rPr>
      </w:pPr>
      <w:r>
        <w:rPr>
          <w:rFonts w:hint="eastAsia"/>
          <w:szCs w:val="21"/>
          <w:highlight w:val="none"/>
          <w:lang w:val="en-US" w:eastAsia="zh-CN"/>
        </w:rPr>
        <w:t>率定和交付使用</w:t>
      </w:r>
    </w:p>
    <w:p>
      <w:pPr>
        <w:pStyle w:val="22"/>
        <w:spacing w:before="156" w:after="156"/>
        <w:ind w:left="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新建测流工程或新安装超声波测流设备必须率定，经有资质的检测机构出具计量率定报告后投入使用。</w:t>
      </w:r>
    </w:p>
    <w:p>
      <w:pPr>
        <w:pStyle w:val="22"/>
        <w:spacing w:before="156" w:after="156"/>
        <w:ind w:left="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使用转子流速仪、走航式ADCP率定时，要按照T/CIDA 0018-2023《灌区农业用水计量率定技术规程》进行。</w:t>
      </w:r>
    </w:p>
    <w:p>
      <w:pPr>
        <w:pStyle w:val="22"/>
        <w:spacing w:before="156" w:after="156"/>
        <w:ind w:left="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现场条件满足要求，应取不少于20次以上高中低水位、流量观测资料。</w:t>
      </w:r>
    </w:p>
    <w:p>
      <w:pPr>
        <w:pStyle w:val="22"/>
        <w:spacing w:before="156" w:after="156"/>
        <w:ind w:left="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测流工程交付使用后，使用单位应每年比测不少于2次，发现偏差超过精度要求时，应重新率定。</w:t>
      </w:r>
    </w:p>
    <w:p>
      <w:pPr>
        <w:pStyle w:val="20"/>
        <w:rPr>
          <w:rFonts w:hint="eastAsia"/>
          <w:lang w:val="en-US" w:eastAsia="zh-CN"/>
        </w:rPr>
      </w:pPr>
    </w:p>
    <w:p>
      <w:pPr>
        <w:pStyle w:val="21"/>
        <w:outlineLvl w:val="0"/>
        <w:rPr>
          <w:rFonts w:hint="eastAsia"/>
          <w:szCs w:val="21"/>
          <w:lang w:val="en-US" w:eastAsia="zh-CN"/>
        </w:rPr>
      </w:pPr>
      <w:bookmarkStart w:id="112" w:name="_Toc25982"/>
      <w:bookmarkStart w:id="113" w:name="_Toc481932521"/>
      <w:bookmarkStart w:id="114" w:name="_Toc481932937"/>
      <w:r>
        <w:rPr>
          <w:rFonts w:hint="eastAsia"/>
          <w:szCs w:val="21"/>
          <w:lang w:val="en-US" w:eastAsia="zh-CN"/>
        </w:rPr>
        <w:t>运行管理</w:t>
      </w:r>
      <w:bookmarkEnd w:id="112"/>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明渠超声波测流工程应当指派专职管理员和操作员，管理员负责区域超声波测流工程的管理，操作员负责日常配水工作</w:t>
      </w:r>
      <w:r>
        <w:rPr>
          <w:rFonts w:hint="eastAsia" w:ascii="宋体" w:hAnsi="宋体" w:eastAsia="宋体"/>
          <w:color w:val="000000" w:themeColor="text1"/>
          <w14:textFill>
            <w14:solidFill>
              <w14:schemeClr w14:val="tx1"/>
            </w14:solidFill>
          </w14:textFill>
        </w:rPr>
        <w:t>。</w:t>
      </w:r>
    </w:p>
    <w:p>
      <w:pPr>
        <w:pStyle w:val="22"/>
        <w:spacing w:before="156" w:after="156"/>
        <w:ind w:left="0"/>
        <w:rPr>
          <w:rFonts w:hint="eastAsia" w:ascii="宋体" w:hAnsi="宋体" w:eastAsia="宋体"/>
          <w:color w:val="000000" w:themeColor="text1"/>
          <w:lang w:val="en-US" w:eastAsia="zh-CN"/>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管理员宜由超声波测流工程的建设管理单位指派人员担任，操作员应从便于用水管理的角度指派人员担任。</w:t>
      </w:r>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管理员应当在灌溉季节定期巡查超声波测流工程，每月不少于1次，撰写巡查日志。</w:t>
      </w:r>
    </w:p>
    <w:p>
      <w:pPr>
        <w:pStyle w:val="22"/>
        <w:spacing w:before="156" w:after="156"/>
        <w:ind w:left="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lang w:val="en-US" w:eastAsia="zh-CN"/>
          <w14:textFill>
            <w14:solidFill>
              <w14:schemeClr w14:val="tx1"/>
            </w14:solidFill>
          </w14:textFill>
        </w:rPr>
        <w:t>明渠超声波测流工程应当定期清理测流段泥沙淤积和杂物</w:t>
      </w:r>
      <w:r>
        <w:rPr>
          <w:rFonts w:hint="eastAsia" w:ascii="宋体" w:hAnsi="宋体" w:eastAsia="宋体"/>
          <w:color w:val="000000" w:themeColor="text1"/>
          <w14:textFill>
            <w14:solidFill>
              <w14:schemeClr w14:val="tx1"/>
            </w14:solidFill>
          </w14:textFill>
        </w:rPr>
        <w:t>。</w:t>
      </w:r>
    </w:p>
    <w:bookmarkEnd w:id="113"/>
    <w:bookmarkEnd w:id="114"/>
    <w:p>
      <w:pPr>
        <w:rPr>
          <w:szCs w:val="21"/>
        </w:rPr>
      </w:pPr>
    </w:p>
    <w:sectPr>
      <w:footerReference r:id="rId9" w:type="default"/>
      <w:pgSz w:w="11906" w:h="16838"/>
      <w:pgMar w:top="1440" w:right="1803" w:bottom="1440" w:left="1803" w:header="1418" w:footer="1134" w:gutter="0"/>
      <w:pgNumType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专用字">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eastAsia="宋体"/>
        <w:lang w:val="en-US" w:eastAsia="zh-CN"/>
      </w:rPr>
    </w:pPr>
    <w:r>
      <w:rPr>
        <w:rFonts w:hint="eastAsia"/>
        <w:lang w:val="en-US" w:eastAsia="zh-CN"/>
      </w:rPr>
      <w:t>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3081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308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0.3pt;width:144pt;mso-position-horizontal:center;mso-position-horizontal-relative:margin;mso-wrap-style:none;z-index:251660288;mso-width-relative:page;mso-height-relative:page;" filled="f" stroked="f" coordsize="21600,21600" o:gfxdata="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1OpHnTAAAABAEAAA8AAAAAAAAAAQAg&#10;AAAAIgAAAGRycy9kb3ducmV2LnhtbFBLAQIUABQAAAAIAIdO4kAf1aKzEwIAAAgEAAAOAAAAAAAA&#10;AAEAIAAAACIBAABkcnMvZTJvRG9jLnhtbFBLBQYAAAAABgAGAFkBAACnBQAAAAA=&#10;">
              <v:fill on="f" focussize="0,0"/>
              <v:stroke on="f" weight="0.5pt"/>
              <v:imagedata o:title=""/>
              <o:lock v:ext="edit" aspectratio="f"/>
              <v:textbox inset="0mm,0mm,0mm,0mm">
                <w:txbxContent>
                  <w:p>
                    <w:pPr>
                      <w:pStyle w:val="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7C76D1"/>
    <w:multiLevelType w:val="singleLevel"/>
    <w:tmpl w:val="C57C76D1"/>
    <w:lvl w:ilvl="0" w:tentative="0">
      <w:start w:val="1"/>
      <w:numFmt w:val="lowerLetter"/>
      <w:lvlText w:val="%1)"/>
      <w:lvlJc w:val="left"/>
      <w:pPr>
        <w:tabs>
          <w:tab w:val="left" w:pos="312"/>
        </w:tabs>
      </w:pPr>
    </w:lvl>
  </w:abstractNum>
  <w:abstractNum w:abstractNumId="1">
    <w:nsid w:val="1FC91163"/>
    <w:multiLevelType w:val="multilevel"/>
    <w:tmpl w:val="1FC91163"/>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2"/>
      <w:suff w:val="nothing"/>
      <w:lvlText w:val="%1.%2.%3　"/>
      <w:lvlJc w:val="left"/>
      <w:pPr>
        <w:ind w:left="127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25"/>
      <w:suff w:val="nothing"/>
      <w:lvlText w:val="表%1　"/>
      <w:lvlJc w:val="left"/>
      <w:pPr>
        <w:ind w:left="1050" w:firstLine="0"/>
      </w:pPr>
      <w:rPr>
        <w:rFonts w:hint="eastAsia" w:ascii="黑体" w:hAnsi="Times New Roman" w:eastAsia="黑体"/>
        <w:b w:val="0"/>
        <w:i w:val="0"/>
        <w:sz w:val="21"/>
      </w:rPr>
    </w:lvl>
    <w:lvl w:ilvl="1" w:tentative="0">
      <w:start w:val="1"/>
      <w:numFmt w:val="decimal"/>
      <w:lvlText w:val="%1.%2"/>
      <w:lvlJc w:val="left"/>
      <w:pPr>
        <w:tabs>
          <w:tab w:val="left" w:pos="6805"/>
        </w:tabs>
        <w:ind w:left="7855" w:hanging="567"/>
      </w:pPr>
      <w:rPr>
        <w:rFonts w:hint="eastAsia"/>
      </w:rPr>
    </w:lvl>
    <w:lvl w:ilvl="2" w:tentative="0">
      <w:start w:val="1"/>
      <w:numFmt w:val="decimal"/>
      <w:lvlText w:val="%1.%2.%3"/>
      <w:lvlJc w:val="left"/>
      <w:pPr>
        <w:tabs>
          <w:tab w:val="left" w:pos="7231"/>
        </w:tabs>
        <w:ind w:left="8281" w:hanging="567"/>
      </w:pPr>
      <w:rPr>
        <w:rFonts w:hint="eastAsia"/>
      </w:rPr>
    </w:lvl>
    <w:lvl w:ilvl="3" w:tentative="0">
      <w:start w:val="1"/>
      <w:numFmt w:val="decimal"/>
      <w:lvlText w:val="%1.%2.%3.%4"/>
      <w:lvlJc w:val="left"/>
      <w:pPr>
        <w:tabs>
          <w:tab w:val="left" w:pos="7797"/>
        </w:tabs>
        <w:ind w:left="8847" w:hanging="708"/>
      </w:pPr>
      <w:rPr>
        <w:rFonts w:hint="eastAsia"/>
      </w:rPr>
    </w:lvl>
    <w:lvl w:ilvl="4" w:tentative="0">
      <w:start w:val="1"/>
      <w:numFmt w:val="decimal"/>
      <w:lvlText w:val="%1.%2.%3.%4.%5"/>
      <w:lvlJc w:val="left"/>
      <w:pPr>
        <w:tabs>
          <w:tab w:val="left" w:pos="8364"/>
        </w:tabs>
        <w:ind w:left="9414" w:hanging="850"/>
      </w:pPr>
      <w:rPr>
        <w:rFonts w:hint="eastAsia"/>
      </w:rPr>
    </w:lvl>
    <w:lvl w:ilvl="5" w:tentative="0">
      <w:start w:val="1"/>
      <w:numFmt w:val="decimal"/>
      <w:lvlText w:val="%1.%2.%3.%4.%5.%6"/>
      <w:lvlJc w:val="left"/>
      <w:pPr>
        <w:tabs>
          <w:tab w:val="left" w:pos="9073"/>
        </w:tabs>
        <w:ind w:left="10123" w:hanging="1134"/>
      </w:pPr>
      <w:rPr>
        <w:rFonts w:hint="eastAsia"/>
      </w:rPr>
    </w:lvl>
    <w:lvl w:ilvl="6" w:tentative="0">
      <w:start w:val="1"/>
      <w:numFmt w:val="decimal"/>
      <w:lvlText w:val="%1.%2.%3.%4.%5.%6.%7"/>
      <w:lvlJc w:val="left"/>
      <w:pPr>
        <w:tabs>
          <w:tab w:val="left" w:pos="9640"/>
        </w:tabs>
        <w:ind w:left="10690" w:hanging="1276"/>
      </w:pPr>
      <w:rPr>
        <w:rFonts w:hint="eastAsia"/>
      </w:rPr>
    </w:lvl>
    <w:lvl w:ilvl="7" w:tentative="0">
      <w:start w:val="1"/>
      <w:numFmt w:val="decimal"/>
      <w:lvlText w:val="%1.%2.%3.%4.%5.%6.%7.%8"/>
      <w:lvlJc w:val="left"/>
      <w:pPr>
        <w:tabs>
          <w:tab w:val="left" w:pos="10207"/>
        </w:tabs>
        <w:ind w:left="11257" w:hanging="1418"/>
      </w:pPr>
      <w:rPr>
        <w:rFonts w:hint="eastAsia"/>
      </w:rPr>
    </w:lvl>
    <w:lvl w:ilvl="8" w:tentative="0">
      <w:start w:val="1"/>
      <w:numFmt w:val="decimal"/>
      <w:lvlText w:val="%1.%2.%3.%4.%5.%6.%7.%8.%9"/>
      <w:lvlJc w:val="left"/>
      <w:pPr>
        <w:tabs>
          <w:tab w:val="left" w:pos="10915"/>
        </w:tabs>
        <w:ind w:left="11965"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NWI4YTM4MjE2MTA1NjQxNmU2ZWY1YWY0ODNlMDUifQ=="/>
  </w:docVars>
  <w:rsids>
    <w:rsidRoot w:val="3BDC240E"/>
    <w:rsid w:val="000C0AD7"/>
    <w:rsid w:val="000C3CF1"/>
    <w:rsid w:val="00117F4B"/>
    <w:rsid w:val="0019297B"/>
    <w:rsid w:val="00205202"/>
    <w:rsid w:val="00295565"/>
    <w:rsid w:val="003A08C2"/>
    <w:rsid w:val="0041436A"/>
    <w:rsid w:val="00491838"/>
    <w:rsid w:val="00542D75"/>
    <w:rsid w:val="006A763E"/>
    <w:rsid w:val="006A7847"/>
    <w:rsid w:val="00973608"/>
    <w:rsid w:val="009A1684"/>
    <w:rsid w:val="009D4EB3"/>
    <w:rsid w:val="00AC36C7"/>
    <w:rsid w:val="00C07D0A"/>
    <w:rsid w:val="00C20709"/>
    <w:rsid w:val="00C22B20"/>
    <w:rsid w:val="00CD4ED4"/>
    <w:rsid w:val="00D439D5"/>
    <w:rsid w:val="00E6041C"/>
    <w:rsid w:val="00E72BE3"/>
    <w:rsid w:val="00F41D61"/>
    <w:rsid w:val="00FC4F28"/>
    <w:rsid w:val="01077659"/>
    <w:rsid w:val="01487CFA"/>
    <w:rsid w:val="014B08FF"/>
    <w:rsid w:val="0226424B"/>
    <w:rsid w:val="023D46EC"/>
    <w:rsid w:val="024737BC"/>
    <w:rsid w:val="02933AFF"/>
    <w:rsid w:val="04334128"/>
    <w:rsid w:val="05015EA4"/>
    <w:rsid w:val="05AD039F"/>
    <w:rsid w:val="05D87A62"/>
    <w:rsid w:val="05E2343A"/>
    <w:rsid w:val="06FE4D85"/>
    <w:rsid w:val="073B34AB"/>
    <w:rsid w:val="091F5B76"/>
    <w:rsid w:val="09A926B0"/>
    <w:rsid w:val="09AB4631"/>
    <w:rsid w:val="0A3348B1"/>
    <w:rsid w:val="0A3927A5"/>
    <w:rsid w:val="0A7F4769"/>
    <w:rsid w:val="0AD22515"/>
    <w:rsid w:val="0B777047"/>
    <w:rsid w:val="0BDD7965"/>
    <w:rsid w:val="0BEC62D1"/>
    <w:rsid w:val="0C4C1332"/>
    <w:rsid w:val="0D0A405C"/>
    <w:rsid w:val="0D814026"/>
    <w:rsid w:val="0DB33224"/>
    <w:rsid w:val="0DDE1103"/>
    <w:rsid w:val="0EB43F87"/>
    <w:rsid w:val="0F586E8B"/>
    <w:rsid w:val="0F8C0E81"/>
    <w:rsid w:val="109E4EEF"/>
    <w:rsid w:val="11056D1C"/>
    <w:rsid w:val="11701D4A"/>
    <w:rsid w:val="12001760"/>
    <w:rsid w:val="1257015C"/>
    <w:rsid w:val="127A7296"/>
    <w:rsid w:val="12DA0A5B"/>
    <w:rsid w:val="130E4191"/>
    <w:rsid w:val="133149E8"/>
    <w:rsid w:val="13D7705E"/>
    <w:rsid w:val="13DA5BE7"/>
    <w:rsid w:val="149227A2"/>
    <w:rsid w:val="1497412F"/>
    <w:rsid w:val="15445F3E"/>
    <w:rsid w:val="15CE2B4F"/>
    <w:rsid w:val="15EC3F25"/>
    <w:rsid w:val="15EF7363"/>
    <w:rsid w:val="16B75A2E"/>
    <w:rsid w:val="173B71BE"/>
    <w:rsid w:val="18052243"/>
    <w:rsid w:val="18401C1D"/>
    <w:rsid w:val="18541748"/>
    <w:rsid w:val="18CE5864"/>
    <w:rsid w:val="19632832"/>
    <w:rsid w:val="1A6A02F8"/>
    <w:rsid w:val="1AEF1A58"/>
    <w:rsid w:val="1B4067E8"/>
    <w:rsid w:val="1C024264"/>
    <w:rsid w:val="1D0600A4"/>
    <w:rsid w:val="1D612BB2"/>
    <w:rsid w:val="1E320A25"/>
    <w:rsid w:val="1E36198E"/>
    <w:rsid w:val="1E517199"/>
    <w:rsid w:val="1E967206"/>
    <w:rsid w:val="1ED22EFC"/>
    <w:rsid w:val="1ED51BA6"/>
    <w:rsid w:val="1F6115C2"/>
    <w:rsid w:val="1F9522DE"/>
    <w:rsid w:val="208A0FEC"/>
    <w:rsid w:val="20BB4E2E"/>
    <w:rsid w:val="21845DC5"/>
    <w:rsid w:val="223210FA"/>
    <w:rsid w:val="23943F3D"/>
    <w:rsid w:val="25395B9F"/>
    <w:rsid w:val="25A22C66"/>
    <w:rsid w:val="25BD0469"/>
    <w:rsid w:val="260F3FE7"/>
    <w:rsid w:val="265C0CB8"/>
    <w:rsid w:val="26857912"/>
    <w:rsid w:val="269B5F75"/>
    <w:rsid w:val="26FC3E04"/>
    <w:rsid w:val="275D2552"/>
    <w:rsid w:val="27AB3D22"/>
    <w:rsid w:val="28F811E9"/>
    <w:rsid w:val="290C080F"/>
    <w:rsid w:val="296A5517"/>
    <w:rsid w:val="29895073"/>
    <w:rsid w:val="29E357EF"/>
    <w:rsid w:val="2A2C6088"/>
    <w:rsid w:val="2A7D3A7F"/>
    <w:rsid w:val="2B1B509E"/>
    <w:rsid w:val="2BD91C93"/>
    <w:rsid w:val="2C0824BD"/>
    <w:rsid w:val="2C351E0C"/>
    <w:rsid w:val="2CC76D42"/>
    <w:rsid w:val="2D09004F"/>
    <w:rsid w:val="2D295E40"/>
    <w:rsid w:val="2DA047C4"/>
    <w:rsid w:val="2DA90D03"/>
    <w:rsid w:val="2EED4C20"/>
    <w:rsid w:val="2F060E7D"/>
    <w:rsid w:val="2F131D7F"/>
    <w:rsid w:val="2F6F7D2B"/>
    <w:rsid w:val="2F8F217B"/>
    <w:rsid w:val="2FD30669"/>
    <w:rsid w:val="30E86837"/>
    <w:rsid w:val="31107DB8"/>
    <w:rsid w:val="317B2242"/>
    <w:rsid w:val="32AA67C3"/>
    <w:rsid w:val="33355846"/>
    <w:rsid w:val="33382DF0"/>
    <w:rsid w:val="337F42B4"/>
    <w:rsid w:val="345337F6"/>
    <w:rsid w:val="34DC03A4"/>
    <w:rsid w:val="35E85B36"/>
    <w:rsid w:val="35FE12DE"/>
    <w:rsid w:val="36A858D0"/>
    <w:rsid w:val="37620175"/>
    <w:rsid w:val="3795353A"/>
    <w:rsid w:val="38AE4333"/>
    <w:rsid w:val="3902576C"/>
    <w:rsid w:val="391B59B7"/>
    <w:rsid w:val="39DC22C7"/>
    <w:rsid w:val="3A5A5133"/>
    <w:rsid w:val="3A9201EE"/>
    <w:rsid w:val="3AA12700"/>
    <w:rsid w:val="3B430433"/>
    <w:rsid w:val="3BDC240E"/>
    <w:rsid w:val="3C2B1469"/>
    <w:rsid w:val="3C371BD0"/>
    <w:rsid w:val="3D1E2D29"/>
    <w:rsid w:val="3D1E39D5"/>
    <w:rsid w:val="3D501A9D"/>
    <w:rsid w:val="3D7A1A73"/>
    <w:rsid w:val="3D7C3F5F"/>
    <w:rsid w:val="3D8D000C"/>
    <w:rsid w:val="3E7250CD"/>
    <w:rsid w:val="3E7762B4"/>
    <w:rsid w:val="3E990BA2"/>
    <w:rsid w:val="3EEC65FB"/>
    <w:rsid w:val="3F161623"/>
    <w:rsid w:val="3F8B4C96"/>
    <w:rsid w:val="3FC27B53"/>
    <w:rsid w:val="3FE97B13"/>
    <w:rsid w:val="3FF210A8"/>
    <w:rsid w:val="40E40161"/>
    <w:rsid w:val="417A47C5"/>
    <w:rsid w:val="419623B1"/>
    <w:rsid w:val="421F7A58"/>
    <w:rsid w:val="427F47AA"/>
    <w:rsid w:val="43106DC4"/>
    <w:rsid w:val="433E0403"/>
    <w:rsid w:val="4437265E"/>
    <w:rsid w:val="4464552C"/>
    <w:rsid w:val="44F600FB"/>
    <w:rsid w:val="458D3F5C"/>
    <w:rsid w:val="45BB73CE"/>
    <w:rsid w:val="461E1637"/>
    <w:rsid w:val="4691081E"/>
    <w:rsid w:val="471F7DF7"/>
    <w:rsid w:val="479F062A"/>
    <w:rsid w:val="485B2CD0"/>
    <w:rsid w:val="48AD3910"/>
    <w:rsid w:val="48B009BB"/>
    <w:rsid w:val="48F52BF7"/>
    <w:rsid w:val="49835F8C"/>
    <w:rsid w:val="499535C9"/>
    <w:rsid w:val="49DF5F72"/>
    <w:rsid w:val="49EE51BA"/>
    <w:rsid w:val="4A923B1F"/>
    <w:rsid w:val="4B156435"/>
    <w:rsid w:val="4BFF78E2"/>
    <w:rsid w:val="4CAD41D7"/>
    <w:rsid w:val="4CD945DE"/>
    <w:rsid w:val="4D306193"/>
    <w:rsid w:val="4E391ED1"/>
    <w:rsid w:val="4E625C37"/>
    <w:rsid w:val="4EDC7C17"/>
    <w:rsid w:val="4EE87E27"/>
    <w:rsid w:val="4EED611E"/>
    <w:rsid w:val="4F2C6C0A"/>
    <w:rsid w:val="4F7F2792"/>
    <w:rsid w:val="4FB74D6D"/>
    <w:rsid w:val="502C5473"/>
    <w:rsid w:val="503A0EDB"/>
    <w:rsid w:val="505D37E8"/>
    <w:rsid w:val="5066262C"/>
    <w:rsid w:val="50BE03DB"/>
    <w:rsid w:val="50C52CD4"/>
    <w:rsid w:val="512206D9"/>
    <w:rsid w:val="51497F84"/>
    <w:rsid w:val="53716041"/>
    <w:rsid w:val="538A78E4"/>
    <w:rsid w:val="5486085E"/>
    <w:rsid w:val="54CC0716"/>
    <w:rsid w:val="556C1973"/>
    <w:rsid w:val="55784979"/>
    <w:rsid w:val="55AD0A1F"/>
    <w:rsid w:val="560E42BD"/>
    <w:rsid w:val="56102F02"/>
    <w:rsid w:val="57927CCC"/>
    <w:rsid w:val="579E29E4"/>
    <w:rsid w:val="58916322"/>
    <w:rsid w:val="58D751DF"/>
    <w:rsid w:val="58ED38EB"/>
    <w:rsid w:val="597208E5"/>
    <w:rsid w:val="599E51AE"/>
    <w:rsid w:val="59F405D5"/>
    <w:rsid w:val="5A1171DD"/>
    <w:rsid w:val="5A7E2230"/>
    <w:rsid w:val="5B0A7533"/>
    <w:rsid w:val="5B4F263B"/>
    <w:rsid w:val="5BD920EE"/>
    <w:rsid w:val="5C3D6937"/>
    <w:rsid w:val="5C6167A8"/>
    <w:rsid w:val="5C7676AF"/>
    <w:rsid w:val="5C9C18B0"/>
    <w:rsid w:val="5CFF1F1F"/>
    <w:rsid w:val="5EE918F8"/>
    <w:rsid w:val="5F683CCB"/>
    <w:rsid w:val="611F0B1E"/>
    <w:rsid w:val="615B645D"/>
    <w:rsid w:val="61C25FD2"/>
    <w:rsid w:val="62627391"/>
    <w:rsid w:val="62C40C82"/>
    <w:rsid w:val="62D323F8"/>
    <w:rsid w:val="63346EE9"/>
    <w:rsid w:val="63AB43D7"/>
    <w:rsid w:val="63CA3F1F"/>
    <w:rsid w:val="63DB7B11"/>
    <w:rsid w:val="63F5283B"/>
    <w:rsid w:val="65C459D3"/>
    <w:rsid w:val="65FC33BF"/>
    <w:rsid w:val="667D5D1F"/>
    <w:rsid w:val="66BB12B7"/>
    <w:rsid w:val="67CD32AF"/>
    <w:rsid w:val="68301AFE"/>
    <w:rsid w:val="69534069"/>
    <w:rsid w:val="69BF25A5"/>
    <w:rsid w:val="69D10EDE"/>
    <w:rsid w:val="6A3550F2"/>
    <w:rsid w:val="6AB57FE0"/>
    <w:rsid w:val="6ADA35A3"/>
    <w:rsid w:val="6B665D1D"/>
    <w:rsid w:val="6B7E44A8"/>
    <w:rsid w:val="6B86304C"/>
    <w:rsid w:val="6BC97EFC"/>
    <w:rsid w:val="6BD66460"/>
    <w:rsid w:val="6C9F2CF6"/>
    <w:rsid w:val="6CE303BF"/>
    <w:rsid w:val="6CEA21C3"/>
    <w:rsid w:val="6D3C0545"/>
    <w:rsid w:val="6DF130DE"/>
    <w:rsid w:val="6E2C1A41"/>
    <w:rsid w:val="6E3708BD"/>
    <w:rsid w:val="6EA75886"/>
    <w:rsid w:val="6EAA7FB6"/>
    <w:rsid w:val="6EE37C16"/>
    <w:rsid w:val="6F00481F"/>
    <w:rsid w:val="6F7A3439"/>
    <w:rsid w:val="701436A3"/>
    <w:rsid w:val="710A1C66"/>
    <w:rsid w:val="719F503E"/>
    <w:rsid w:val="71A31757"/>
    <w:rsid w:val="71F4319C"/>
    <w:rsid w:val="724066C7"/>
    <w:rsid w:val="734F2F3A"/>
    <w:rsid w:val="74DE3FA6"/>
    <w:rsid w:val="752863FA"/>
    <w:rsid w:val="753C60E0"/>
    <w:rsid w:val="75AD0232"/>
    <w:rsid w:val="76C0651D"/>
    <w:rsid w:val="76D8308D"/>
    <w:rsid w:val="771C566F"/>
    <w:rsid w:val="77336515"/>
    <w:rsid w:val="77B35E78"/>
    <w:rsid w:val="781131C6"/>
    <w:rsid w:val="78F13C8E"/>
    <w:rsid w:val="792470D5"/>
    <w:rsid w:val="799A0ACD"/>
    <w:rsid w:val="7A813CB3"/>
    <w:rsid w:val="7AC850A1"/>
    <w:rsid w:val="7AE95DF3"/>
    <w:rsid w:val="7C0C5348"/>
    <w:rsid w:val="7C795F4D"/>
    <w:rsid w:val="7C8F36FB"/>
    <w:rsid w:val="7CDF2D22"/>
    <w:rsid w:val="7D0A7F53"/>
    <w:rsid w:val="7ED918D3"/>
    <w:rsid w:val="7F671150"/>
    <w:rsid w:val="7FA31184"/>
    <w:rsid w:val="7FCC4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2">
    <w:name w:val="heading 2"/>
    <w:basedOn w:val="1"/>
    <w:next w:val="1"/>
    <w:semiHidden/>
    <w:unhideWhenUsed/>
    <w:qFormat/>
    <w:uiPriority w:val="0"/>
    <w:pPr>
      <w:keepNext/>
      <w:keepLines/>
      <w:spacing w:line="360" w:lineRule="auto"/>
      <w:ind w:firstLine="883" w:firstLineChars="200"/>
      <w:outlineLvl w:val="1"/>
    </w:pPr>
    <w:rPr>
      <w:rFonts w:ascii="Arial" w:hAnsi="Arial" w:eastAsia="仿宋"/>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47"/>
    <w:qFormat/>
    <w:uiPriority w:val="0"/>
    <w:pPr>
      <w:jc w:val="left"/>
    </w:pPr>
  </w:style>
  <w:style w:type="paragraph" w:styleId="6">
    <w:name w:val="toc 3"/>
    <w:basedOn w:val="1"/>
    <w:next w:val="1"/>
    <w:qFormat/>
    <w:uiPriority w:val="39"/>
    <w:pPr>
      <w:tabs>
        <w:tab w:val="right" w:leader="dot" w:pos="9241"/>
      </w:tabs>
      <w:ind w:firstLine="102" w:firstLineChars="100"/>
      <w:jc w:val="left"/>
    </w:pPr>
    <w:rPr>
      <w:rFonts w:ascii="宋体"/>
      <w:szCs w:val="21"/>
    </w:rPr>
  </w:style>
  <w:style w:type="paragraph" w:styleId="7">
    <w:name w:val="Balloon Text"/>
    <w:basedOn w:val="1"/>
    <w:link w:val="49"/>
    <w:qFormat/>
    <w:uiPriority w:val="0"/>
    <w:rPr>
      <w:sz w:val="18"/>
      <w:szCs w:val="18"/>
    </w:rPr>
  </w:style>
  <w:style w:type="paragraph" w:styleId="8">
    <w:name w:val="footer"/>
    <w:basedOn w:val="1"/>
    <w:qFormat/>
    <w:uiPriority w:val="0"/>
    <w:pPr>
      <w:snapToGrid w:val="0"/>
      <w:ind w:right="210" w:rightChars="100"/>
      <w:jc w:val="right"/>
    </w:pPr>
    <w:rPr>
      <w:sz w:val="18"/>
      <w:szCs w:val="18"/>
    </w:rPr>
  </w:style>
  <w:style w:type="paragraph" w:styleId="9">
    <w:name w:val="header"/>
    <w:basedOn w:val="1"/>
    <w:qFormat/>
    <w:uiPriority w:val="0"/>
    <w:pPr>
      <w:snapToGrid w:val="0"/>
      <w:jc w:val="left"/>
    </w:pPr>
    <w:rPr>
      <w:sz w:val="18"/>
      <w:szCs w:val="18"/>
    </w:rPr>
  </w:style>
  <w:style w:type="paragraph" w:styleId="10">
    <w:name w:val="toc 1"/>
    <w:basedOn w:val="1"/>
    <w:next w:val="1"/>
    <w:qFormat/>
    <w:uiPriority w:val="39"/>
    <w:pPr>
      <w:tabs>
        <w:tab w:val="right" w:leader="dot" w:pos="9241"/>
      </w:tabs>
      <w:spacing w:line="360" w:lineRule="auto"/>
      <w:jc w:val="left"/>
    </w:pPr>
    <w:rPr>
      <w:rFonts w:ascii="宋体"/>
      <w:szCs w:val="21"/>
    </w:rPr>
  </w:style>
  <w:style w:type="paragraph" w:styleId="11">
    <w:name w:val="toc 2"/>
    <w:basedOn w:val="1"/>
    <w:next w:val="1"/>
    <w:qFormat/>
    <w:uiPriority w:val="0"/>
    <w:pPr>
      <w:ind w:left="420" w:leftChars="200"/>
    </w:pPr>
  </w:style>
  <w:style w:type="paragraph" w:styleId="12">
    <w:name w:val="annotation subject"/>
    <w:basedOn w:val="5"/>
    <w:next w:val="5"/>
    <w:link w:val="48"/>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Strong"/>
    <w:basedOn w:val="15"/>
    <w:qFormat/>
    <w:uiPriority w:val="0"/>
    <w:rPr>
      <w:b/>
    </w:rPr>
  </w:style>
  <w:style w:type="character" w:styleId="17">
    <w:name w:val="Hyperlink"/>
    <w:qFormat/>
    <w:uiPriority w:val="99"/>
    <w:rPr>
      <w:color w:val="0000FF"/>
      <w:spacing w:val="0"/>
      <w:w w:val="100"/>
      <w:szCs w:val="21"/>
      <w:u w:val="single"/>
      <w:lang w:val="en-US" w:eastAsia="zh-CN"/>
    </w:rPr>
  </w:style>
  <w:style w:type="character" w:styleId="18">
    <w:name w:val="annotation reference"/>
    <w:basedOn w:val="15"/>
    <w:qFormat/>
    <w:uiPriority w:val="0"/>
    <w:rPr>
      <w:sz w:val="21"/>
      <w:szCs w:val="21"/>
    </w:rPr>
  </w:style>
  <w:style w:type="paragraph" w:customStyle="1" w:styleId="19">
    <w:name w:val="一级条标题"/>
    <w:next w:val="20"/>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1">
    <w:name w:val="章标题"/>
    <w:next w:val="20"/>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2">
    <w:name w:val="二级条标题"/>
    <w:basedOn w:val="19"/>
    <w:next w:val="20"/>
    <w:qFormat/>
    <w:uiPriority w:val="0"/>
    <w:pPr>
      <w:numPr>
        <w:ilvl w:val="2"/>
      </w:numPr>
      <w:spacing w:before="50" w:after="50"/>
      <w:outlineLvl w:val="3"/>
    </w:pPr>
  </w:style>
  <w:style w:type="paragraph" w:customStyle="1" w:styleId="23">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5">
    <w:name w:val="正文表标题"/>
    <w:next w:val="20"/>
    <w:qFormat/>
    <w:uiPriority w:val="0"/>
    <w:pPr>
      <w:numPr>
        <w:ilvl w:val="0"/>
        <w:numId w:val="2"/>
      </w:numPr>
      <w:spacing w:before="156" w:beforeLines="50" w:after="156" w:afterLines="50"/>
      <w:jc w:val="center"/>
    </w:pPr>
    <w:rPr>
      <w:rFonts w:ascii="黑体" w:hAnsi="Times New Roman" w:eastAsia="黑体" w:cs="Times New Roman"/>
      <w:sz w:val="21"/>
      <w:lang w:val="en-US" w:eastAsia="zh-CN" w:bidi="ar-SA"/>
    </w:rPr>
  </w:style>
  <w:style w:type="paragraph" w:customStyle="1" w:styleId="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7">
    <w:name w:val="其他标准标志"/>
    <w:basedOn w:val="28"/>
    <w:qFormat/>
    <w:uiPriority w:val="0"/>
    <w:pPr>
      <w:framePr w:w="6101" w:vAnchor="page" w:hAnchor="page" w:x="4673" w:y="942"/>
    </w:pPr>
    <w:rPr>
      <w:w w:val="130"/>
    </w:rPr>
  </w:style>
  <w:style w:type="paragraph" w:customStyle="1" w:styleId="2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2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3">
    <w:name w:val="封面标准英文名称"/>
    <w:basedOn w:val="32"/>
    <w:qFormat/>
    <w:uiPriority w:val="0"/>
    <w:pPr>
      <w:framePr/>
      <w:spacing w:before="370" w:line="400" w:lineRule="exact"/>
    </w:pPr>
    <w:rPr>
      <w:rFonts w:ascii="Times New Roman"/>
      <w:sz w:val="28"/>
      <w:szCs w:val="28"/>
    </w:rPr>
  </w:style>
  <w:style w:type="paragraph" w:customStyle="1" w:styleId="34">
    <w:name w:val="封面一致性程度标识"/>
    <w:basedOn w:val="33"/>
    <w:qFormat/>
    <w:uiPriority w:val="0"/>
    <w:pPr>
      <w:framePr/>
      <w:spacing w:before="440"/>
    </w:pPr>
    <w:rPr>
      <w:rFonts w:ascii="宋体" w:eastAsia="宋体"/>
    </w:rPr>
  </w:style>
  <w:style w:type="paragraph" w:customStyle="1" w:styleId="35">
    <w:name w:val="封面标准文稿类别"/>
    <w:basedOn w:val="34"/>
    <w:qFormat/>
    <w:uiPriority w:val="0"/>
    <w:pPr>
      <w:framePr/>
      <w:spacing w:after="160" w:line="240" w:lineRule="auto"/>
    </w:pPr>
    <w:rPr>
      <w:sz w:val="24"/>
    </w:rPr>
  </w:style>
  <w:style w:type="paragraph" w:customStyle="1" w:styleId="36">
    <w:name w:val="封面标准文稿编辑信息"/>
    <w:basedOn w:val="35"/>
    <w:qFormat/>
    <w:uiPriority w:val="0"/>
    <w:pPr>
      <w:framePr/>
      <w:spacing w:before="180" w:line="180" w:lineRule="exact"/>
    </w:pPr>
    <w:rPr>
      <w:sz w:val="21"/>
    </w:rPr>
  </w:style>
  <w:style w:type="paragraph" w:customStyle="1" w:styleId="37">
    <w:name w:val="其他发布日期"/>
    <w:basedOn w:val="38"/>
    <w:qFormat/>
    <w:uiPriority w:val="0"/>
    <w:pPr>
      <w:framePr w:vAnchor="page" w:hAnchor="text" w:x="1419"/>
    </w:pPr>
  </w:style>
  <w:style w:type="paragraph" w:customStyle="1" w:styleId="3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9">
    <w:name w:val="其他实施日期"/>
    <w:basedOn w:val="40"/>
    <w:qFormat/>
    <w:uiPriority w:val="0"/>
    <w:pPr>
      <w:framePr/>
    </w:pPr>
  </w:style>
  <w:style w:type="paragraph" w:customStyle="1" w:styleId="40">
    <w:name w:val="实施日期"/>
    <w:basedOn w:val="38"/>
    <w:qFormat/>
    <w:uiPriority w:val="0"/>
    <w:pPr>
      <w:framePr w:vAnchor="page" w:hAnchor="text"/>
      <w:jc w:val="right"/>
    </w:pPr>
  </w:style>
  <w:style w:type="paragraph" w:customStyle="1" w:styleId="41">
    <w:name w:val="其他发布部门"/>
    <w:basedOn w:val="42"/>
    <w:qFormat/>
    <w:uiPriority w:val="0"/>
    <w:pPr>
      <w:framePr w:y="15310"/>
      <w:spacing w:line="0" w:lineRule="atLeast"/>
    </w:pPr>
    <w:rPr>
      <w:rFonts w:ascii="黑体" w:eastAsia="黑体"/>
      <w:b w:val="0"/>
    </w:rPr>
  </w:style>
  <w:style w:type="paragraph" w:customStyle="1" w:styleId="42">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43">
    <w:name w:val="发布"/>
    <w:qFormat/>
    <w:uiPriority w:val="0"/>
    <w:rPr>
      <w:rFonts w:ascii="黑体" w:hAnsi="Times New Roman" w:eastAsia="黑体" w:cs="Times New Roman"/>
      <w:spacing w:val="85"/>
      <w:w w:val="100"/>
      <w:position w:val="3"/>
      <w:sz w:val="28"/>
      <w:szCs w:val="28"/>
    </w:rPr>
  </w:style>
  <w:style w:type="paragraph" w:customStyle="1" w:styleId="44">
    <w:name w:val="WPSOffice手动目录 1"/>
    <w:qFormat/>
    <w:uiPriority w:val="0"/>
    <w:rPr>
      <w:rFonts w:ascii="Times New Roman" w:hAnsi="Times New Roman" w:eastAsia="宋体" w:cs="Times New Roman"/>
      <w:lang w:val="en-US" w:eastAsia="zh-CN" w:bidi="ar-SA"/>
    </w:rPr>
  </w:style>
  <w:style w:type="paragraph" w:customStyle="1" w:styleId="4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6">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7">
    <w:name w:val="批注文字 Char"/>
    <w:basedOn w:val="15"/>
    <w:link w:val="5"/>
    <w:qFormat/>
    <w:uiPriority w:val="0"/>
    <w:rPr>
      <w:kern w:val="2"/>
      <w:sz w:val="21"/>
      <w:szCs w:val="24"/>
    </w:rPr>
  </w:style>
  <w:style w:type="character" w:customStyle="1" w:styleId="48">
    <w:name w:val="批注主题 Char"/>
    <w:basedOn w:val="47"/>
    <w:link w:val="12"/>
    <w:qFormat/>
    <w:uiPriority w:val="0"/>
    <w:rPr>
      <w:b/>
      <w:bCs/>
      <w:kern w:val="2"/>
      <w:sz w:val="21"/>
      <w:szCs w:val="24"/>
    </w:rPr>
  </w:style>
  <w:style w:type="character" w:customStyle="1" w:styleId="49">
    <w:name w:val="批注框文本 Char"/>
    <w:basedOn w:val="15"/>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3175</Words>
  <Characters>3771</Characters>
  <Lines>67</Lines>
  <Paragraphs>18</Paragraphs>
  <TotalTime>5</TotalTime>
  <ScaleCrop>false</ScaleCrop>
  <LinksUpToDate>false</LinksUpToDate>
  <CharactersWithSpaces>3994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2022-01-04T07:34:00Z</dcterms:created>
  <dc:creator>zgb101-1</dc:creator>
  <cp:lastModifiedBy>Administrator</cp:lastModifiedBy>
  <cp:lastPrinted>2021-12-28T03:53:00Z</cp:lastPrinted>
  <dcterms:modified xsi:type="dcterms:W3CDTF">2024-10-30T09:33:34Z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A8EDB3412BC34A4282DDD695CFDADDEE</vt:lpwstr>
  </property>
</Properties>
</file>