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1" w:lineRule="auto"/>
        <w:jc w:val="center"/>
        <w:outlineLvl w:val="0"/>
        <w:rPr>
          <w:rFonts w:ascii="黑体" w:hAnsi="黑体" w:eastAsia="黑体" w:cs="黑体"/>
          <w:sz w:val="44"/>
          <w:szCs w:val="44"/>
        </w:rPr>
      </w:pPr>
      <w:bookmarkStart w:id="0" w:name="_Toc8164"/>
      <w:bookmarkStart w:id="1" w:name="_Toc29358"/>
      <w:bookmarkStart w:id="2" w:name="_Toc3288"/>
      <w:r>
        <w:rPr>
          <w:rFonts w:hint="eastAsia" w:ascii="黑体" w:hAnsi="黑体" w:eastAsia="黑体" w:cs="黑体"/>
          <w:sz w:val="44"/>
          <w:szCs w:val="44"/>
        </w:rPr>
        <w:t>梨树宽行密植栽培建园技术规程</w:t>
      </w:r>
      <w:bookmarkEnd w:id="0"/>
      <w:bookmarkEnd w:id="1"/>
      <w:bookmarkEnd w:id="2"/>
    </w:p>
    <w:p>
      <w:pPr>
        <w:jc w:val="center"/>
        <w:rPr>
          <w:rFonts w:ascii="黑体" w:hAnsi="黑体" w:eastAsia="黑体" w:cs="黑体"/>
          <w:sz w:val="44"/>
          <w:szCs w:val="44"/>
        </w:rPr>
      </w:pPr>
      <w:r>
        <w:rPr>
          <w:rFonts w:hint="eastAsia" w:ascii="黑体" w:hAnsi="黑体" w:eastAsia="黑体" w:cs="黑体"/>
          <w:sz w:val="44"/>
          <w:szCs w:val="44"/>
        </w:rPr>
        <w:t>编制说明</w:t>
      </w:r>
    </w:p>
    <w:p>
      <w:pPr>
        <w:spacing w:line="360" w:lineRule="exact"/>
        <w:ind w:firstLine="643" w:firstLineChars="200"/>
        <w:rPr>
          <w:rFonts w:ascii="黑体" w:hAnsi="黑体" w:eastAsia="黑体" w:cs="黑体"/>
          <w:b/>
          <w:bCs/>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一、工作简况，包括地方标准制修订项目的立项情况、提出单位、归口单位、起草单位和起草人等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1.项目来源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2021年1</w:t>
      </w:r>
      <w:r>
        <w:rPr>
          <w:rFonts w:hint="eastAsia" w:ascii="仿宋_GB2312" w:hAnsi="仿宋_GB2312" w:eastAsia="仿宋_GB2312" w:cs="仿宋_GB2312"/>
          <w:color w:val="000000" w:themeColor="text1"/>
          <w:sz w:val="32"/>
          <w:szCs w:val="32"/>
          <w14:textFill>
            <w14:solidFill>
              <w14:schemeClr w14:val="tx1"/>
            </w14:solidFill>
          </w14:textFill>
        </w:rPr>
        <w:t>2月-2024年11月，巴彦淖尔市沙漠综合治理中心承担2021年度</w:t>
      </w: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“科技兴蒙”行动重点专项巴彦淖尔市国家农业高新技术产业示范区重点项目</w:t>
      </w:r>
      <w:r>
        <w:rPr>
          <w:rFonts w:hint="eastAsia" w:ascii="仿宋_GB2312" w:hAnsi="仿宋_GB2312" w:eastAsia="仿宋_GB2312" w:cs="仿宋_GB2312"/>
          <w:color w:val="000000" w:themeColor="text1"/>
          <w:sz w:val="32"/>
          <w:szCs w:val="32"/>
          <w14:textFill>
            <w14:solidFill>
              <w14:schemeClr w14:val="tx1"/>
            </w14:solidFill>
          </w14:textFill>
        </w:rPr>
        <w:t>，重</w:t>
      </w:r>
      <w:r>
        <w:rPr>
          <w:rFonts w:hint="eastAsia" w:ascii="仿宋_GB2312" w:hAnsi="仿宋_GB2312" w:eastAsia="仿宋_GB2312" w:cs="仿宋_GB2312"/>
          <w:sz w:val="32"/>
          <w:szCs w:val="32"/>
        </w:rPr>
        <w:t>点围绕</w:t>
      </w:r>
      <w:r>
        <w:rPr>
          <w:rFonts w:hint="eastAsia" w:ascii="仿宋_GB2312" w:hAnsi="仿宋_GB2312" w:eastAsia="仿宋_GB2312" w:cs="仿宋_GB2312"/>
          <w:color w:val="000000"/>
          <w:sz w:val="32"/>
          <w:szCs w:val="32"/>
        </w:rPr>
        <w:t>梨树宽行密植标准化栽培建园技术</w:t>
      </w:r>
      <w:r>
        <w:rPr>
          <w:rFonts w:hint="eastAsia" w:ascii="仿宋_GB2312" w:hAnsi="仿宋_GB2312" w:eastAsia="仿宋_GB2312" w:cs="仿宋_GB2312"/>
          <w:sz w:val="32"/>
          <w:szCs w:val="32"/>
        </w:rPr>
        <w:t>进行研究。</w:t>
      </w:r>
      <w:r>
        <w:rPr>
          <w:rFonts w:hint="eastAsia" w:ascii="仿宋_GB2312" w:hAnsi="仿宋_GB2312" w:eastAsia="仿宋_GB2312" w:cs="仿宋_GB2312"/>
          <w:color w:val="000000"/>
          <w:sz w:val="32"/>
          <w:szCs w:val="32"/>
        </w:rPr>
        <w:t>采用先进的主干纺锤形修剪整形技术、水肥一体化灌溉技术、立杆、拉线、铺设防草地布、园地生草管理技术，总结形成了适用于巴彦淖尔市地区的梨树</w:t>
      </w:r>
      <w:r>
        <w:rPr>
          <w:rFonts w:hint="eastAsia" w:ascii="仿宋_GB2312" w:hAnsi="仿宋_GB2312" w:eastAsia="仿宋_GB2312" w:cs="仿宋_GB2312"/>
          <w:sz w:val="32"/>
          <w:szCs w:val="32"/>
        </w:rPr>
        <w:t>宽行密植栽培建园技术，按照标准化制定有关要求申报地方标准。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2.标准提出单位：巴彦淖尔市沙漠综合治理中心（巴彦淖尔市林业科学研究所）、内蒙古自治区林业科学研究院。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3.起草单位：巴彦淖尔市沙漠综合治理中心（巴彦淖尔市林业科学研究所）、内蒙古自治区林业科学研究院。</w:t>
      </w:r>
    </w:p>
    <w:p>
      <w:pPr>
        <w:ind w:firstLine="640" w:firstLineChars="200"/>
      </w:pPr>
      <w:r>
        <w:rPr>
          <w:rFonts w:hint="eastAsia" w:ascii="仿宋_GB2312" w:hAnsi="仿宋_GB2312" w:eastAsia="仿宋_GB2312" w:cs="仿宋_GB2312"/>
          <w:sz w:val="32"/>
          <w:szCs w:val="32"/>
        </w:rPr>
        <w:t>4.标准归口管理单位：巴彦淖尔市林业和草原局。</w:t>
      </w:r>
      <w:bookmarkStart w:id="4" w:name="_GoBack"/>
      <w:bookmarkEnd w:id="4"/>
    </w:p>
    <w:p>
      <w:pPr>
        <w:ind w:firstLine="640" w:firstLineChars="200"/>
        <w:rPr>
          <w:rFonts w:ascii="黑体" w:hAnsi="黑体" w:eastAsia="黑体" w:cs="黑体"/>
          <w:sz w:val="32"/>
          <w:szCs w:val="32"/>
        </w:rPr>
      </w:pPr>
      <w:r>
        <w:rPr>
          <w:rFonts w:hint="eastAsia" w:ascii="黑体" w:hAnsi="黑体" w:eastAsia="黑体" w:cs="黑体"/>
          <w:sz w:val="32"/>
          <w:szCs w:val="32"/>
        </w:rPr>
        <w:t>二、制定标准的目的和意义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巴彦淖尔市梨类经济林栽培模式一直采取传统的疏散分层型修剪方法和建园模式。该模式要求管理技术高，生产成本高、优果率低、果品不一致、产量不稳定，亩产经济效益不高，不易推广。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解决以上问题，现引进宽行密植栽培模式、主干纺锤形整形修剪技术。这种栽培模式和整形修剪技术，管理技术简单，易学易懂，优果率高、果品一致质量高、产量稳定、果实前期投入生产成本相对较高，后期亩产经济效益高。同时采取杜梨砧木建园嫁接，梨树嫁接口愈合好，不易发生病虫害，为后期梨树丰产奠定基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宽行密植栽培模式、主干纺锤形整形修剪技术的应用推广，是巴彦淖尔市果实栽培模式的一次复兴，通过项目带动、标准化示范园引领、实地技术指导与科技服务，可以辐射带动广大果农调整栽培模式，调动社会各界力量参与经济林产业建设的积极性，为林业生态建设与经济产业的可持续发展注入了新的活力。</w:t>
      </w:r>
    </w:p>
    <w:p>
      <w:pPr>
        <w:ind w:firstLine="640" w:firstLineChars="200"/>
        <w:rPr>
          <w:rFonts w:ascii="黑体" w:hAnsi="黑体" w:eastAsia="黑体" w:cs="黑体"/>
          <w:sz w:val="32"/>
          <w:szCs w:val="32"/>
        </w:rPr>
      </w:pPr>
      <w:r>
        <w:rPr>
          <w:rFonts w:hint="eastAsia" w:ascii="黑体" w:hAnsi="黑体" w:eastAsia="黑体" w:cs="黑体"/>
          <w:sz w:val="32"/>
          <w:szCs w:val="32"/>
        </w:rPr>
        <w:t>三、编制过程，包括分工情况、起草阶段、征求意见阶段、送审阶段、报批阶段等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2021年12月-2024年11月，巴彦淖尔市沙漠综合治理中心承担2021年度</w:t>
      </w: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“科技兴蒙”行动重点专项巴彦淖尔市国家农业高新技术产业示范区重点项目</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按照项目任务要求完成</w:t>
      </w:r>
      <w:r>
        <w:rPr>
          <w:rFonts w:hint="eastAsia" w:ascii="仿宋_GB2312" w:hAnsi="仿宋_GB2312" w:eastAsia="仿宋_GB2312" w:cs="仿宋_GB2312"/>
          <w:color w:val="000000"/>
          <w:sz w:val="32"/>
          <w:szCs w:val="32"/>
        </w:rPr>
        <w:t>梨树宽行密植标准化栽培建园技术</w:t>
      </w:r>
      <w:r>
        <w:rPr>
          <w:rFonts w:hint="eastAsia" w:ascii="仿宋_GB2312" w:hAnsi="仿宋_GB2312" w:eastAsia="仿宋_GB2312" w:cs="仿宋_GB2312"/>
          <w:sz w:val="32"/>
          <w:szCs w:val="32"/>
        </w:rPr>
        <w:t>规程编制工作；为此，巴彦淖尔市沙漠综合治理中心成立“</w:t>
      </w:r>
      <w:r>
        <w:rPr>
          <w:rFonts w:hint="eastAsia" w:ascii="仿宋_GB2312" w:hAnsi="仿宋_GB2312" w:eastAsia="仿宋_GB2312" w:cs="仿宋_GB2312"/>
          <w:color w:val="000000"/>
          <w:sz w:val="32"/>
          <w:szCs w:val="32"/>
        </w:rPr>
        <w:t>梨树宽行密植标准化栽培建园技术</w:t>
      </w:r>
      <w:r>
        <w:rPr>
          <w:rFonts w:hint="eastAsia" w:ascii="仿宋_GB2312" w:hAnsi="仿宋_GB2312" w:eastAsia="仿宋_GB2312" w:cs="仿宋_GB2312"/>
          <w:sz w:val="32"/>
          <w:szCs w:val="32"/>
        </w:rPr>
        <w:t>标准起草小组”，选派全程参与项目实施，并具有实践生产经验的技术人员承担编撰任务；技术人员根据宽行密植栽培模式，结合主干纺锤形整形修剪技术、水肥一体化灌溉技术和立杆、拉线、铺设园艺地布、园地生草管理技术的实际应用，结合相关地方标准，收集梨成品苗宽行密植栽培建园技术等方面的基础材料；经实地调查、论证，召开标准研讨会，邀请林草行业内有关专家，经过反复修改完善完成了技术规程的编写工作，形成了本草案。</w:t>
      </w:r>
    </w:p>
    <w:p>
      <w:pPr>
        <w:spacing w:before="1" w:line="357" w:lineRule="auto"/>
        <w:ind w:left="17" w:right="56" w:firstLine="665"/>
        <w:rPr>
          <w:rFonts w:ascii="仿宋" w:hAnsi="仿宋" w:eastAsia="仿宋" w:cs="仿宋"/>
          <w:sz w:val="31"/>
          <w:szCs w:val="31"/>
        </w:rPr>
      </w:pPr>
      <w:r>
        <w:rPr>
          <w:rFonts w:hint="eastAsia" w:ascii="黑体" w:hAnsi="黑体" w:eastAsia="黑体" w:cs="黑体"/>
          <w:sz w:val="32"/>
          <w:szCs w:val="32"/>
        </w:rPr>
        <w:t>四、制定标准的原则及依据，与现行法律、法规、标准的关系</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1.制定标准的原则</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（1）坚持合法性原则</w:t>
      </w:r>
    </w:p>
    <w:p>
      <w:pPr>
        <w:pStyle w:val="2"/>
        <w:ind w:firstLine="640" w:firstLineChars="200"/>
        <w:rPr>
          <w:rFonts w:hint="eastAsia"/>
        </w:rPr>
      </w:pPr>
      <w:r>
        <w:rPr>
          <w:rFonts w:hint="eastAsia"/>
        </w:rPr>
        <w:t>标准的制定符合国家法律法规和相关政策</w:t>
      </w:r>
      <w:r>
        <w:rPr>
          <w:rFonts w:hint="eastAsia" w:cs="Malgun Gothic Semilight"/>
        </w:rPr>
        <w:t>，</w:t>
      </w:r>
      <w:r>
        <w:rPr>
          <w:rFonts w:hint="eastAsia"/>
        </w:rPr>
        <w:t>不违反国家的法律法规和政策</w:t>
      </w:r>
      <w:r>
        <w:rPr>
          <w:rFonts w:hint="eastAsia" w:cs="Malgun Gothic Semilight"/>
        </w:rPr>
        <w:t>。</w:t>
      </w:r>
      <w:r>
        <w:rPr>
          <w:rFonts w:hint="eastAsia"/>
        </w:rPr>
        <w:t>同时</w:t>
      </w:r>
      <w:r>
        <w:rPr>
          <w:rFonts w:hint="eastAsia" w:cs="Malgun Gothic Semilight"/>
        </w:rPr>
        <w:t>，</w:t>
      </w:r>
      <w:r>
        <w:rPr>
          <w:rFonts w:hint="eastAsia"/>
        </w:rPr>
        <w:t>标准的制定遵循科学性</w:t>
      </w:r>
      <w:r>
        <w:rPr>
          <w:rFonts w:hint="eastAsia" w:cs="Malgun Gothic Semilight"/>
        </w:rPr>
        <w:t>、</w:t>
      </w:r>
      <w:r>
        <w:rPr>
          <w:rFonts w:hint="eastAsia"/>
        </w:rPr>
        <w:t>合理性</w:t>
      </w:r>
      <w:r>
        <w:rPr>
          <w:rFonts w:hint="eastAsia" w:cs="Malgun Gothic Semilight"/>
        </w:rPr>
        <w:t>、</w:t>
      </w:r>
      <w:r>
        <w:rPr>
          <w:rFonts w:hint="eastAsia"/>
        </w:rPr>
        <w:t>公正性和公开透明的原则</w:t>
      </w:r>
      <w:r>
        <w:rPr>
          <w:rFonts w:hint="eastAsia" w:cs="Malgun Gothic Semilight"/>
        </w:rPr>
        <w:t>，</w:t>
      </w:r>
      <w:r>
        <w:rPr>
          <w:rFonts w:hint="eastAsia"/>
        </w:rPr>
        <w:t>确保标准的质量和效果</w:t>
      </w:r>
      <w:r>
        <w:rPr>
          <w:rFonts w:hint="eastAsia" w:cs="Malgun Gothic Semilight"/>
        </w:rPr>
        <w:t>。</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（2）坚持专业化原则</w:t>
      </w:r>
    </w:p>
    <w:p>
      <w:pPr>
        <w:pStyle w:val="2"/>
        <w:ind w:firstLine="640" w:firstLineChars="200"/>
        <w:rPr>
          <w:rFonts w:hint="eastAsia"/>
        </w:rPr>
      </w:pPr>
      <w:r>
        <w:rPr>
          <w:rFonts w:hint="eastAsia"/>
        </w:rPr>
        <w:t>标准的制定应由相关领域的专业人士或机构来负责，确保标准的专业水准和技术准确性。</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（3）坚持市场适用性原则</w:t>
      </w:r>
    </w:p>
    <w:p>
      <w:pPr>
        <w:pStyle w:val="2"/>
        <w:ind w:firstLine="640" w:firstLineChars="200"/>
        <w:rPr>
          <w:rFonts w:hint="eastAsia"/>
        </w:rPr>
      </w:pPr>
      <w:r>
        <w:rPr>
          <w:rFonts w:hint="eastAsia"/>
        </w:rPr>
        <w:t>制定的标准适应市场需求、符合市场规律，并对市场的可持续发展起到积极的推动作用。遵循市场适用性原则有助于确保标准在实际应用中的有效性，提高其在市场上的接受度，同时也增强了标准的权威性和公信力。</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（4）坚持生产环节的精细化、可操作性原则。</w:t>
      </w:r>
    </w:p>
    <w:p>
      <w:pPr>
        <w:pStyle w:val="2"/>
        <w:ind w:firstLine="640" w:firstLineChars="200"/>
        <w:rPr>
          <w:rFonts w:hint="eastAsia"/>
        </w:rPr>
      </w:pPr>
      <w:r>
        <w:rPr>
          <w:rFonts w:hint="eastAsia"/>
        </w:rPr>
        <w:t>在生产环节中，精细化和可操作性原则是确保产品质量和生产效率的关键。</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2.制定标准的依据</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本文件依据GB/T1.1-2020给出的标准化工作导则第一部分：标准化文件的结构和起草原则。</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根据巴彦淖尔市市场监督管理局下达《关于征集2024年巴彦淖尔市地方标准制修订项目的通知》文件要求编制了该标准。</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GB/T 8321（所有部分）  农药合理使用准则</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NY5013  无公害食品  林果类产品产地环境条件</w:t>
      </w:r>
    </w:p>
    <w:p>
      <w:pPr>
        <w:pStyle w:val="14"/>
        <w:ind w:firstLine="672"/>
        <w:rPr>
          <w:rFonts w:ascii="仿宋_GB2312" w:hAnsi="仿宋_GB2312" w:eastAsia="仿宋_GB2312" w:cs="仿宋_GB2312"/>
          <w:color w:val="000000" w:themeColor="text1"/>
          <w:spacing w:val="8"/>
          <w:kern w:val="2"/>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kern w:val="2"/>
          <w:sz w:val="32"/>
          <w:szCs w:val="32"/>
          <w:shd w:val="clear" w:color="auto" w:fill="FFFFFF"/>
          <w14:textFill>
            <w14:solidFill>
              <w14:schemeClr w14:val="tx1"/>
            </w14:solidFill>
          </w14:textFill>
        </w:rPr>
        <w:t>DB1508/T 157  梨成品苗宽行密植栽培建园技术规程</w:t>
      </w:r>
    </w:p>
    <w:p>
      <w:pPr>
        <w:ind w:firstLine="672" w:firstLineChars="200"/>
        <w:rPr>
          <w:rFonts w:ascii="仿宋_GB2312" w:hAnsi="仿宋_GB2312" w:eastAsia="仿宋_GB2312" w:cs="仿宋_GB2312"/>
          <w:color w:val="000000" w:themeColor="text1"/>
          <w:spacing w:val="8"/>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3.与现行法律、法规、标准的关系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与现行有效的国家标准、行业标准和地方标准不交叉、不重合、不矛盾。</w:t>
      </w:r>
    </w:p>
    <w:p>
      <w:pPr>
        <w:ind w:firstLine="640" w:firstLineChars="200"/>
        <w:rPr>
          <w:rFonts w:ascii="黑体" w:hAnsi="黑体" w:eastAsia="黑体" w:cs="黑体"/>
          <w:sz w:val="32"/>
          <w:szCs w:val="32"/>
        </w:rPr>
      </w:pPr>
      <w:r>
        <w:rPr>
          <w:rFonts w:hint="eastAsia" w:ascii="黑体" w:hAnsi="黑体" w:eastAsia="黑体" w:cs="黑体"/>
          <w:sz w:val="32"/>
          <w:szCs w:val="32"/>
        </w:rPr>
        <w:t>五、主要条款的说明，主要技术指标、参数、试验验证的论述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1.栽植方法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将杜梨苗裸根苗放入坑内，扶正苗木，然后提苗埋土踏实，埋土时先埋熟土后埋生土，埋土深度至苗木原土痕上3 cm左右。埋土过深会影响苗木成活。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2.中耕除草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梨树嫁接果树挂果前处于营养生长期，采取中耕除草，可以提温保商，利于果树快速营养生长，抚育管理易采用中耕除草。</w:t>
      </w:r>
    </w:p>
    <w:p>
      <w:pPr>
        <w:ind w:firstLine="640" w:firstLineChars="200"/>
        <w:rPr>
          <w:rFonts w:ascii="仿宋_GB2312" w:hAnsi="仿宋_GB2312" w:eastAsia="仿宋_GB2312" w:cs="仿宋_GB2312"/>
          <w:sz w:val="32"/>
          <w:szCs w:val="32"/>
        </w:rPr>
      </w:pPr>
      <w:bookmarkStart w:id="3" w:name="_Toc144887383"/>
      <w:r>
        <w:rPr>
          <w:rFonts w:hint="eastAsia" w:ascii="仿宋_GB2312" w:hAnsi="仿宋_GB2312" w:eastAsia="仿宋_GB2312" w:cs="仿宋_GB2312"/>
          <w:sz w:val="32"/>
          <w:szCs w:val="32"/>
        </w:rPr>
        <w:t>3.田间生草</w:t>
      </w:r>
      <w:bookmarkEnd w:id="3"/>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梨树嫁接挂果后采取田间生草，可以增加果园内空气湿度、避免高温日灼，改善果面，果面和果实品质优于采取中耕除草果园，同时通过刈草还田可以改良土壤，增加土壤有机质，抚育管理易采用田间生草。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4.宽行密植栽培模式生长量调查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2023年市沙漠综合治理中心组织技术人员对树种新梢高生长量和粗生长量进行调查。经调查统计，早香梨新梢平均高生长157.64 cm、平均粗生长17.88 cm，红早酥梨新梢平均高生长131.43 cm、平均粗生长13.52 cm，新梨7号新梢高生长172.32 cm、粗生长19.02 cm,品种普遍长势良好，各品种新梢生长量详见表2。</w:t>
      </w:r>
    </w:p>
    <w:p>
      <w:pPr>
        <w:pStyle w:val="2"/>
      </w:pPr>
      <w:r>
        <w:rPr>
          <w:rFonts w:hint="eastAsia"/>
        </w:rPr>
        <w:t>表2  2023年生长量调查表</w:t>
      </w:r>
    </w:p>
    <w:tbl>
      <w:tblPr>
        <w:tblStyle w:val="9"/>
        <w:tblW w:w="62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639"/>
        <w:gridCol w:w="1639"/>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1381" w:type="dxa"/>
            <w:vAlign w:val="center"/>
          </w:tcPr>
          <w:p>
            <w:pPr>
              <w:pStyle w:val="2"/>
              <w:rPr>
                <w:b/>
              </w:rPr>
            </w:pPr>
            <w:r>
              <w:rPr>
                <w:rFonts w:hint="eastAsia"/>
              </w:rPr>
              <w:t>品种1</w:t>
            </w:r>
          </w:p>
        </w:tc>
        <w:tc>
          <w:tcPr>
            <w:tcW w:w="1639" w:type="dxa"/>
            <w:vAlign w:val="center"/>
          </w:tcPr>
          <w:p>
            <w:pPr>
              <w:pStyle w:val="2"/>
              <w:rPr>
                <w:b/>
              </w:rPr>
            </w:pPr>
            <w:r>
              <w:rPr>
                <w:rFonts w:hint="eastAsia"/>
              </w:rPr>
              <w:t>样地</w:t>
            </w:r>
          </w:p>
        </w:tc>
        <w:tc>
          <w:tcPr>
            <w:tcW w:w="1639" w:type="dxa"/>
          </w:tcPr>
          <w:p>
            <w:pPr>
              <w:pStyle w:val="2"/>
              <w:rPr>
                <w:b/>
              </w:rPr>
            </w:pPr>
            <w:r>
              <w:rPr>
                <w:rFonts w:hint="eastAsia"/>
              </w:rPr>
              <w:t>新梢</w:t>
            </w:r>
          </w:p>
          <w:p>
            <w:pPr>
              <w:pStyle w:val="2"/>
              <w:rPr>
                <w:b/>
              </w:rPr>
            </w:pPr>
            <w:r>
              <w:rPr>
                <w:rFonts w:hint="eastAsia"/>
              </w:rPr>
              <w:t>高生长量（cm)</w:t>
            </w:r>
          </w:p>
        </w:tc>
        <w:tc>
          <w:tcPr>
            <w:tcW w:w="1639" w:type="dxa"/>
          </w:tcPr>
          <w:p>
            <w:pPr>
              <w:pStyle w:val="2"/>
              <w:rPr>
                <w:b/>
              </w:rPr>
            </w:pPr>
            <w:r>
              <w:rPr>
                <w:rFonts w:hint="eastAsia"/>
              </w:rPr>
              <w:t>新梢</w:t>
            </w:r>
          </w:p>
          <w:p>
            <w:pPr>
              <w:pStyle w:val="2"/>
              <w:rPr>
                <w:b/>
              </w:rPr>
            </w:pPr>
            <w:r>
              <w:rPr>
                <w:rFonts w:hint="eastAsia"/>
              </w:rPr>
              <w:t>粗生长量（mm)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restart"/>
            <w:vAlign w:val="center"/>
          </w:tcPr>
          <w:p>
            <w:pPr>
              <w:pStyle w:val="2"/>
              <w:rPr>
                <w:b/>
              </w:rPr>
            </w:pPr>
            <w:r>
              <w:rPr>
                <w:rFonts w:hint="eastAsia"/>
              </w:rPr>
              <w:t>早酥梨</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样地1</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157.35</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continue"/>
            <w:vAlign w:val="center"/>
          </w:tcPr>
          <w:p>
            <w:pPr>
              <w:pStyle w:val="2"/>
            </w:pP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样地2</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133.2</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continue"/>
          </w:tcPr>
          <w:p>
            <w:pPr>
              <w:pStyle w:val="2"/>
            </w:pP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样地3</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184.7</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continue"/>
          </w:tcPr>
          <w:p>
            <w:pPr>
              <w:pStyle w:val="2"/>
            </w:pP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样地4</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192.68</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21.64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continue"/>
          </w:tcPr>
          <w:p>
            <w:pPr>
              <w:pStyle w:val="2"/>
            </w:pP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样地5</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120.28</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3020" w:type="dxa"/>
            <w:gridSpan w:val="2"/>
            <w:vAlign w:val="center"/>
          </w:tcPr>
          <w:p>
            <w:pPr>
              <w:widowControl/>
              <w:jc w:val="center"/>
              <w:textAlignment w:val="center"/>
              <w:rPr>
                <w:rFonts w:ascii="仿宋_GB2312" w:hAnsi="仿宋_GB2312" w:eastAsia="仿宋_GB2312" w:cs="仿宋_GB2312"/>
                <w:color w:val="000000"/>
                <w:kern w:val="0"/>
                <w:sz w:val="24"/>
                <w:lang w:bidi="ar"/>
              </w:rPr>
            </w:pPr>
            <w:r>
              <w:rPr>
                <w:rFonts w:hint="eastAsia" w:ascii="宋体" w:hAnsi="宋体" w:eastAsia="宋体" w:cs="宋体"/>
                <w:b/>
                <w:bCs/>
                <w:color w:val="000000"/>
                <w:kern w:val="0"/>
                <w:sz w:val="28"/>
                <w:szCs w:val="28"/>
                <w:lang w:bidi="ar"/>
              </w:rPr>
              <w:t>平均生长量</w:t>
            </w:r>
          </w:p>
        </w:tc>
        <w:tc>
          <w:tcPr>
            <w:tcW w:w="1639" w:type="dxa"/>
            <w:vAlign w:val="center"/>
          </w:tcPr>
          <w:p>
            <w:pPr>
              <w:widowControl/>
              <w:jc w:val="center"/>
              <w:textAlignment w:val="center"/>
              <w:rPr>
                <w:rFonts w:ascii="仿宋_GB2312" w:hAnsi="仿宋_GB2312" w:eastAsia="仿宋_GB2312" w:cs="仿宋_GB2312"/>
                <w:color w:val="000000"/>
                <w:kern w:val="0"/>
                <w:sz w:val="24"/>
                <w:lang w:bidi="ar"/>
              </w:rPr>
            </w:pPr>
            <w:r>
              <w:rPr>
                <w:rFonts w:hint="eastAsia" w:ascii="宋体" w:hAnsi="宋体" w:eastAsia="宋体" w:cs="宋体"/>
                <w:b/>
                <w:bCs/>
                <w:color w:val="000000"/>
                <w:kern w:val="0"/>
                <w:sz w:val="28"/>
                <w:szCs w:val="28"/>
                <w:lang w:bidi="ar"/>
              </w:rPr>
              <w:t>157.64</w:t>
            </w:r>
          </w:p>
        </w:tc>
        <w:tc>
          <w:tcPr>
            <w:tcW w:w="1639" w:type="dxa"/>
            <w:vAlign w:val="center"/>
          </w:tcPr>
          <w:p>
            <w:pPr>
              <w:widowControl/>
              <w:jc w:val="center"/>
              <w:textAlignment w:val="center"/>
              <w:rPr>
                <w:rFonts w:ascii="仿宋_GB2312" w:hAnsi="仿宋_GB2312" w:eastAsia="仿宋_GB2312" w:cs="仿宋_GB2312"/>
                <w:color w:val="000000"/>
                <w:kern w:val="0"/>
                <w:sz w:val="24"/>
                <w:lang w:bidi="ar"/>
              </w:rPr>
            </w:pPr>
            <w:r>
              <w:rPr>
                <w:rFonts w:hint="eastAsia" w:ascii="宋体" w:hAnsi="宋体" w:eastAsia="宋体" w:cs="宋体"/>
                <w:b/>
                <w:bCs/>
                <w:color w:val="000000"/>
                <w:kern w:val="0"/>
                <w:sz w:val="28"/>
                <w:szCs w:val="28"/>
                <w:lang w:bidi="ar"/>
              </w:rPr>
              <w:t>17.88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1381" w:type="dxa"/>
            <w:vAlign w:val="center"/>
          </w:tcPr>
          <w:p>
            <w:pPr>
              <w:pStyle w:val="2"/>
              <w:rPr>
                <w:rFonts w:ascii="仿宋_GB2312" w:hAnsi="仿宋_GB2312" w:eastAsia="仿宋_GB2312" w:cs="仿宋_GB2312"/>
                <w:b/>
              </w:rPr>
            </w:pPr>
            <w:r>
              <w:rPr>
                <w:rFonts w:hint="eastAsia"/>
              </w:rPr>
              <w:t>品种2</w:t>
            </w:r>
          </w:p>
        </w:tc>
        <w:tc>
          <w:tcPr>
            <w:tcW w:w="1639" w:type="dxa"/>
            <w:vAlign w:val="center"/>
          </w:tcPr>
          <w:p>
            <w:pPr>
              <w:pStyle w:val="2"/>
              <w:rPr>
                <w:rFonts w:ascii="仿宋_GB2312" w:hAnsi="仿宋_GB2312" w:eastAsia="仿宋_GB2312" w:cs="仿宋_GB2312"/>
                <w:b/>
              </w:rPr>
            </w:pPr>
            <w:r>
              <w:rPr>
                <w:rFonts w:hint="eastAsia"/>
              </w:rPr>
              <w:t>样地</w:t>
            </w:r>
          </w:p>
        </w:tc>
        <w:tc>
          <w:tcPr>
            <w:tcW w:w="1639" w:type="dxa"/>
          </w:tcPr>
          <w:p>
            <w:pPr>
              <w:pStyle w:val="2"/>
              <w:rPr>
                <w:b/>
              </w:rPr>
            </w:pPr>
            <w:r>
              <w:rPr>
                <w:rFonts w:hint="eastAsia"/>
              </w:rPr>
              <w:t>新梢</w:t>
            </w:r>
          </w:p>
          <w:p>
            <w:pPr>
              <w:pStyle w:val="2"/>
              <w:rPr>
                <w:rFonts w:ascii="仿宋_GB2312" w:hAnsi="仿宋_GB2312" w:eastAsia="仿宋_GB2312" w:cs="仿宋_GB2312"/>
                <w:b/>
              </w:rPr>
            </w:pPr>
            <w:r>
              <w:rPr>
                <w:rFonts w:hint="eastAsia"/>
              </w:rPr>
              <w:t>高生长量（cm)</w:t>
            </w:r>
          </w:p>
        </w:tc>
        <w:tc>
          <w:tcPr>
            <w:tcW w:w="1639" w:type="dxa"/>
          </w:tcPr>
          <w:p>
            <w:pPr>
              <w:pStyle w:val="2"/>
              <w:rPr>
                <w:b/>
              </w:rPr>
            </w:pPr>
            <w:r>
              <w:rPr>
                <w:rFonts w:hint="eastAsia"/>
              </w:rPr>
              <w:t>新梢</w:t>
            </w:r>
          </w:p>
          <w:p>
            <w:pPr>
              <w:pStyle w:val="2"/>
              <w:rPr>
                <w:rFonts w:ascii="仿宋_GB2312" w:hAnsi="仿宋_GB2312" w:eastAsia="仿宋_GB2312" w:cs="仿宋_GB2312"/>
                <w:b/>
              </w:rPr>
            </w:pPr>
            <w:r>
              <w:rPr>
                <w:rFonts w:hint="eastAsia"/>
              </w:rPr>
              <w:t>粗生长量（mm)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restart"/>
            <w:vAlign w:val="center"/>
          </w:tcPr>
          <w:p>
            <w:pPr>
              <w:pStyle w:val="2"/>
              <w:rPr>
                <w:b/>
              </w:rPr>
            </w:pPr>
            <w:r>
              <w:rPr>
                <w:rFonts w:hint="eastAsia"/>
              </w:rPr>
              <w:t>绿早酥梨</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样地1</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128.45</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381" w:type="dxa"/>
            <w:vMerge w:val="continue"/>
            <w:vAlign w:val="center"/>
          </w:tcPr>
          <w:p>
            <w:pPr>
              <w:pStyle w:val="2"/>
            </w:pP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样地2</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134.4</w:t>
            </w:r>
          </w:p>
        </w:tc>
        <w:tc>
          <w:tcPr>
            <w:tcW w:w="1639" w:type="dxa"/>
            <w:vAlign w:val="center"/>
          </w:tcPr>
          <w:p>
            <w:pPr>
              <w:widowControl/>
              <w:jc w:val="center"/>
              <w:textAlignment w:val="center"/>
              <w:rPr>
                <w:rFonts w:ascii="仿宋_GB2312" w:hAnsi="仿宋_GB2312" w:eastAsia="仿宋_GB2312" w:cs="仿宋_GB2312"/>
                <w:bCs/>
                <w:sz w:val="24"/>
              </w:rPr>
            </w:pPr>
            <w:r>
              <w:rPr>
                <w:rFonts w:hint="eastAsia" w:ascii="仿宋_GB2312" w:hAnsi="仿宋_GB2312" w:eastAsia="仿宋_GB2312" w:cs="仿宋_GB2312"/>
                <w:color w:val="000000"/>
                <w:kern w:val="0"/>
                <w:sz w:val="24"/>
                <w:lang w:bidi="ar"/>
              </w:rPr>
              <w:t>14.88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3020" w:type="dxa"/>
            <w:gridSpan w:val="2"/>
            <w:vAlign w:val="center"/>
          </w:tcPr>
          <w:p>
            <w:pPr>
              <w:widowControl/>
              <w:jc w:val="center"/>
              <w:textAlignment w:val="center"/>
              <w:rPr>
                <w:rFonts w:ascii="仿宋_GB2312" w:hAnsi="仿宋_GB2312" w:eastAsia="仿宋_GB2312" w:cs="仿宋_GB2312"/>
                <w:bCs/>
              </w:rPr>
            </w:pPr>
            <w:r>
              <w:rPr>
                <w:rFonts w:hint="eastAsia" w:ascii="宋体" w:hAnsi="宋体" w:eastAsia="宋体" w:cs="宋体"/>
                <w:b/>
                <w:bCs/>
                <w:color w:val="000000"/>
                <w:kern w:val="0"/>
                <w:sz w:val="28"/>
                <w:szCs w:val="28"/>
                <w:lang w:bidi="ar"/>
              </w:rPr>
              <w:t>平均生长量</w:t>
            </w:r>
          </w:p>
        </w:tc>
        <w:tc>
          <w:tcPr>
            <w:tcW w:w="1639" w:type="dxa"/>
            <w:vAlign w:val="center"/>
          </w:tcPr>
          <w:p>
            <w:pPr>
              <w:widowControl/>
              <w:jc w:val="center"/>
              <w:textAlignment w:val="center"/>
              <w:rPr>
                <w:rFonts w:ascii="仿宋_GB2312" w:hAnsi="仿宋_GB2312" w:eastAsia="仿宋_GB2312" w:cs="仿宋_GB2312"/>
                <w:bCs/>
              </w:rPr>
            </w:pPr>
            <w:r>
              <w:rPr>
                <w:rFonts w:hint="eastAsia" w:ascii="宋体" w:hAnsi="宋体" w:eastAsia="宋体" w:cs="宋体"/>
                <w:b/>
                <w:bCs/>
                <w:color w:val="000000"/>
                <w:kern w:val="0"/>
                <w:sz w:val="28"/>
                <w:szCs w:val="28"/>
                <w:lang w:bidi="ar"/>
              </w:rPr>
              <w:t>131.43</w:t>
            </w:r>
          </w:p>
        </w:tc>
        <w:tc>
          <w:tcPr>
            <w:tcW w:w="1639" w:type="dxa"/>
            <w:vAlign w:val="center"/>
          </w:tcPr>
          <w:p>
            <w:pPr>
              <w:widowControl/>
              <w:jc w:val="center"/>
              <w:textAlignment w:val="center"/>
              <w:rPr>
                <w:rFonts w:ascii="仿宋_GB2312" w:hAnsi="仿宋_GB2312" w:eastAsia="仿宋_GB2312" w:cs="仿宋_GB2312"/>
                <w:bCs/>
              </w:rPr>
            </w:pPr>
            <w:r>
              <w:rPr>
                <w:rFonts w:hint="eastAsia" w:ascii="宋体" w:hAnsi="宋体" w:eastAsia="宋体" w:cs="宋体"/>
                <w:b/>
                <w:bCs/>
                <w:color w:val="000000"/>
                <w:kern w:val="0"/>
                <w:sz w:val="28"/>
                <w:szCs w:val="28"/>
                <w:lang w:bidi="ar"/>
              </w:rPr>
              <w:t>13.52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381" w:type="dxa"/>
            <w:vAlign w:val="center"/>
          </w:tcPr>
          <w:p>
            <w:pPr>
              <w:pStyle w:val="2"/>
              <w:rPr>
                <w:b/>
              </w:rPr>
            </w:pPr>
            <w:r>
              <w:rPr>
                <w:rFonts w:hint="eastAsia"/>
              </w:rPr>
              <w:t>新梨7号</w:t>
            </w:r>
          </w:p>
        </w:tc>
        <w:tc>
          <w:tcPr>
            <w:tcW w:w="1639" w:type="dxa"/>
            <w:vAlign w:val="center"/>
          </w:tcPr>
          <w:p>
            <w:pPr>
              <w:widowControl/>
              <w:jc w:val="center"/>
              <w:textAlignment w:val="center"/>
              <w:rPr>
                <w:rFonts w:ascii="仿宋_GB2312" w:hAnsi="仿宋_GB2312" w:eastAsia="仿宋_GB2312" w:cs="仿宋_GB2312"/>
                <w:bCs/>
              </w:rPr>
            </w:pPr>
            <w:r>
              <w:rPr>
                <w:rFonts w:hint="eastAsia" w:ascii="宋体" w:hAnsi="宋体" w:eastAsia="宋体" w:cs="宋体"/>
                <w:color w:val="000000"/>
                <w:kern w:val="0"/>
                <w:sz w:val="28"/>
                <w:szCs w:val="28"/>
                <w:lang w:bidi="ar"/>
              </w:rPr>
              <w:t>样地1</w:t>
            </w:r>
          </w:p>
        </w:tc>
        <w:tc>
          <w:tcPr>
            <w:tcW w:w="1639" w:type="dxa"/>
            <w:vAlign w:val="center"/>
          </w:tcPr>
          <w:p>
            <w:pPr>
              <w:widowControl/>
              <w:jc w:val="center"/>
              <w:textAlignment w:val="center"/>
              <w:rPr>
                <w:rFonts w:ascii="仿宋_GB2312" w:hAnsi="仿宋_GB2312" w:eastAsia="仿宋_GB2312" w:cs="仿宋_GB2312"/>
                <w:bCs/>
              </w:rPr>
            </w:pPr>
            <w:r>
              <w:rPr>
                <w:rFonts w:hint="eastAsia" w:ascii="宋体" w:hAnsi="宋体" w:eastAsia="宋体" w:cs="宋体"/>
                <w:b/>
                <w:bCs/>
                <w:color w:val="000000"/>
                <w:kern w:val="0"/>
                <w:sz w:val="28"/>
                <w:szCs w:val="28"/>
                <w:lang w:bidi="ar"/>
              </w:rPr>
              <w:t>172.32</w:t>
            </w:r>
          </w:p>
        </w:tc>
        <w:tc>
          <w:tcPr>
            <w:tcW w:w="1639" w:type="dxa"/>
            <w:vAlign w:val="center"/>
          </w:tcPr>
          <w:p>
            <w:pPr>
              <w:widowControl/>
              <w:jc w:val="center"/>
              <w:textAlignment w:val="center"/>
              <w:rPr>
                <w:rFonts w:ascii="仿宋_GB2312" w:hAnsi="仿宋_GB2312" w:eastAsia="仿宋_GB2312" w:cs="仿宋_GB2312"/>
                <w:bCs/>
              </w:rPr>
            </w:pPr>
            <w:r>
              <w:rPr>
                <w:rFonts w:hint="eastAsia" w:ascii="宋体" w:hAnsi="宋体" w:eastAsia="宋体" w:cs="宋体"/>
                <w:b/>
                <w:bCs/>
                <w:color w:val="000000"/>
                <w:kern w:val="0"/>
                <w:sz w:val="28"/>
                <w:szCs w:val="28"/>
                <w:lang w:bidi="ar"/>
              </w:rPr>
              <w:t>19.02</w:t>
            </w:r>
          </w:p>
        </w:tc>
      </w:tr>
    </w:tbl>
    <w:p>
      <w:pPr>
        <w:ind w:firstLine="640" w:firstLineChars="200"/>
        <w:rPr>
          <w:rFonts w:ascii="黑体" w:hAnsi="黑体" w:eastAsia="黑体" w:cs="黑体"/>
          <w:sz w:val="32"/>
          <w:szCs w:val="32"/>
        </w:rPr>
      </w:pPr>
      <w:r>
        <w:rPr>
          <w:rFonts w:hint="eastAsia" w:ascii="黑体" w:hAnsi="黑体" w:eastAsia="黑体" w:cs="黑体"/>
          <w:sz w:val="32"/>
          <w:szCs w:val="32"/>
        </w:rPr>
        <w:t>六、重大意见分歧的处理依据和结果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本标准在编写过程中不存在重大意见分歧。</w:t>
      </w:r>
    </w:p>
    <w:p>
      <w:pPr>
        <w:ind w:firstLine="640" w:firstLineChars="200"/>
        <w:rPr>
          <w:rFonts w:ascii="黑体" w:hAnsi="黑体" w:eastAsia="黑体" w:cs="黑体"/>
          <w:sz w:val="32"/>
          <w:szCs w:val="32"/>
        </w:rPr>
      </w:pPr>
      <w:r>
        <w:rPr>
          <w:rFonts w:hint="eastAsia" w:ascii="黑体" w:hAnsi="黑体" w:eastAsia="黑体" w:cs="黑体"/>
          <w:sz w:val="32"/>
          <w:szCs w:val="32"/>
        </w:rPr>
        <w:t>七、采用国际标准或国外先进标准的,说明采标程度,以及国内外同类标准水平的对比情况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与国内同类标准水平相近，地区不同，在实施、管理等环节方面也不同。</w:t>
      </w:r>
    </w:p>
    <w:p>
      <w:pPr>
        <w:ind w:firstLine="640" w:firstLineChars="200"/>
        <w:rPr>
          <w:rFonts w:ascii="黑体" w:hAnsi="黑体" w:eastAsia="黑体" w:cs="黑体"/>
          <w:sz w:val="32"/>
          <w:szCs w:val="32"/>
        </w:rPr>
      </w:pPr>
      <w:r>
        <w:rPr>
          <w:rFonts w:hint="eastAsia" w:ascii="黑体" w:hAnsi="黑体" w:eastAsia="黑体" w:cs="黑体"/>
          <w:sz w:val="32"/>
          <w:szCs w:val="32"/>
        </w:rPr>
        <w:t>八、推广实施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1.推广实施措施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一是政策引导；二是加大补贴力度；三是示范带动。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2.推广实施方向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通过项目带动、标准化示范园引领、实地技术指导与科技服务，可以辐射带动广大果农调整栽培模式，调动社会各界力量参与经济林产业建设的积极性。</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3.预期经济效益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该模式的推广实施，预期4-5年可实现初挂果，7年进入盛果期，预计亩产优质果8000斤左右，亩均纯收入可达1万元左右。</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4.预期社会效益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项目示范，带动建设一批经济林标准化示范园，以示范园建设为突破口，以技术培训为手段，以人才培养为重点，示范推广关键适用技术，提高经济林产业科技含量和产业化水平，同时也可以增加周边农民务工收入。从而进一步助推巴彦淖尔市经济林产业高质量发展，探索产业生态化、生态产业产业化的新路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5.预期生态效益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可以增加绿量、净化空气、改善生态生活环境，在梨树开花时节，为游人提供一个赏花的乐园，丰富了果园景观，为林业生态建设与经济产业的可持续发展注入了新的活力。</w:t>
      </w:r>
    </w:p>
    <w:p>
      <w:pPr>
        <w:ind w:firstLine="640" w:firstLineChars="200"/>
        <w:rPr>
          <w:rFonts w:ascii="黑体" w:hAnsi="黑体" w:eastAsia="黑体" w:cs="黑体"/>
          <w:sz w:val="32"/>
          <w:szCs w:val="32"/>
        </w:rPr>
      </w:pPr>
      <w:r>
        <w:rPr>
          <w:rFonts w:hint="eastAsia" w:ascii="黑体" w:hAnsi="黑体" w:eastAsia="黑体" w:cs="黑体"/>
          <w:sz w:val="32"/>
          <w:szCs w:val="32"/>
        </w:rPr>
        <w:t>九、其他应说明的事项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无其他需要说明事项，建议作为推荐性标准。</w:t>
      </w:r>
    </w:p>
    <w:p>
      <w:pPr>
        <w:ind w:firstLine="640" w:firstLineChars="20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Malgun Gothic Semilight">
    <w:panose1 w:val="020B0502040204020203"/>
    <w:charset w:val="86"/>
    <w:family w:val="swiss"/>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8"/>
      <w:suff w:val="nothing"/>
      <w:lvlText w:val="%1%2　"/>
      <w:lvlJc w:val="left"/>
      <w:pPr>
        <w:ind w:left="0" w:firstLine="0"/>
      </w:pPr>
      <w:rPr>
        <w:rFonts w:hint="eastAsia" w:ascii="黑体" w:eastAsia="黑体"/>
        <w:b w:val="0"/>
        <w:i w:val="0"/>
        <w:sz w:val="21"/>
      </w:rPr>
    </w:lvl>
    <w:lvl w:ilvl="2" w:tentative="0">
      <w:start w:val="1"/>
      <w:numFmt w:val="decimal"/>
      <w:pStyle w:val="1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3"/>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iODBmNzlhNTcwN2M4YmJiMjU1YzZkMDNjMGE5ZDIifQ=="/>
  </w:docVars>
  <w:rsids>
    <w:rsidRoot w:val="6B503D7F"/>
    <w:rsid w:val="002B5A0C"/>
    <w:rsid w:val="002E19EA"/>
    <w:rsid w:val="00382D75"/>
    <w:rsid w:val="00472639"/>
    <w:rsid w:val="00494F44"/>
    <w:rsid w:val="004B7B9A"/>
    <w:rsid w:val="005D67CC"/>
    <w:rsid w:val="00651BD0"/>
    <w:rsid w:val="0069489B"/>
    <w:rsid w:val="007206CB"/>
    <w:rsid w:val="007C452A"/>
    <w:rsid w:val="00852428"/>
    <w:rsid w:val="00C910BE"/>
    <w:rsid w:val="00D842EA"/>
    <w:rsid w:val="00FC1D62"/>
    <w:rsid w:val="01C705F2"/>
    <w:rsid w:val="022656B3"/>
    <w:rsid w:val="026A432F"/>
    <w:rsid w:val="02E14102"/>
    <w:rsid w:val="032558AB"/>
    <w:rsid w:val="038A1793"/>
    <w:rsid w:val="077A5247"/>
    <w:rsid w:val="08AE70B7"/>
    <w:rsid w:val="08B50FFC"/>
    <w:rsid w:val="09864BCA"/>
    <w:rsid w:val="0B0264D2"/>
    <w:rsid w:val="0C91079C"/>
    <w:rsid w:val="0EB015E2"/>
    <w:rsid w:val="0F300878"/>
    <w:rsid w:val="0F452E31"/>
    <w:rsid w:val="0FF16719"/>
    <w:rsid w:val="104B4477"/>
    <w:rsid w:val="11AC69A3"/>
    <w:rsid w:val="12BF38A9"/>
    <w:rsid w:val="130A36C0"/>
    <w:rsid w:val="1350048D"/>
    <w:rsid w:val="154F0566"/>
    <w:rsid w:val="169F63BF"/>
    <w:rsid w:val="16AE6146"/>
    <w:rsid w:val="17683B61"/>
    <w:rsid w:val="198E5CD8"/>
    <w:rsid w:val="199056C4"/>
    <w:rsid w:val="1BCE1CC8"/>
    <w:rsid w:val="1D5D57EA"/>
    <w:rsid w:val="1E141EBA"/>
    <w:rsid w:val="1F720A5F"/>
    <w:rsid w:val="1FBC0EEE"/>
    <w:rsid w:val="23C33983"/>
    <w:rsid w:val="267047E0"/>
    <w:rsid w:val="28F219CB"/>
    <w:rsid w:val="299C6600"/>
    <w:rsid w:val="2A5212F5"/>
    <w:rsid w:val="2D384D81"/>
    <w:rsid w:val="2F3740ED"/>
    <w:rsid w:val="31A33CBC"/>
    <w:rsid w:val="331F1A75"/>
    <w:rsid w:val="342A63E2"/>
    <w:rsid w:val="34C65ECE"/>
    <w:rsid w:val="380C46D3"/>
    <w:rsid w:val="38C82F21"/>
    <w:rsid w:val="3B7952B6"/>
    <w:rsid w:val="3B9855D2"/>
    <w:rsid w:val="3EAE436F"/>
    <w:rsid w:val="4068402E"/>
    <w:rsid w:val="421F32D3"/>
    <w:rsid w:val="43C16177"/>
    <w:rsid w:val="47E32A02"/>
    <w:rsid w:val="498521CD"/>
    <w:rsid w:val="4F5B6005"/>
    <w:rsid w:val="4F875766"/>
    <w:rsid w:val="50033E4B"/>
    <w:rsid w:val="5145514C"/>
    <w:rsid w:val="548412D3"/>
    <w:rsid w:val="56503A0C"/>
    <w:rsid w:val="56E83D9B"/>
    <w:rsid w:val="5711472A"/>
    <w:rsid w:val="59EA1BA9"/>
    <w:rsid w:val="5FCC5B8B"/>
    <w:rsid w:val="5FE753F6"/>
    <w:rsid w:val="615B2361"/>
    <w:rsid w:val="655B7E2E"/>
    <w:rsid w:val="658F7735"/>
    <w:rsid w:val="65E663A0"/>
    <w:rsid w:val="66652D12"/>
    <w:rsid w:val="667755A4"/>
    <w:rsid w:val="66903DD3"/>
    <w:rsid w:val="674520EC"/>
    <w:rsid w:val="675F39A2"/>
    <w:rsid w:val="67A11840"/>
    <w:rsid w:val="67FC0AA6"/>
    <w:rsid w:val="6B503D7F"/>
    <w:rsid w:val="6B821D05"/>
    <w:rsid w:val="6BEF0E44"/>
    <w:rsid w:val="6DFB42FF"/>
    <w:rsid w:val="6E060BA5"/>
    <w:rsid w:val="6EB83BFB"/>
    <w:rsid w:val="74732A9E"/>
    <w:rsid w:val="74C00834"/>
    <w:rsid w:val="74CD5228"/>
    <w:rsid w:val="74F651CB"/>
    <w:rsid w:val="767A2A49"/>
    <w:rsid w:val="76A6321E"/>
    <w:rsid w:val="7A0348C4"/>
    <w:rsid w:val="7C4E0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spacing w:after="0"/>
      <w:ind w:firstLine="320" w:firstLineChars="100"/>
    </w:pPr>
    <w:rPr>
      <w:rFonts w:ascii="仿宋" w:hAnsi="仿宋" w:eastAsia="仿宋" w:cs="微软雅黑"/>
      <w:sz w:val="32"/>
      <w:szCs w:val="32"/>
    </w:rPr>
  </w:style>
  <w:style w:type="paragraph" w:styleId="3">
    <w:name w:val="Body Text"/>
    <w:basedOn w:val="1"/>
    <w:unhideWhenUsed/>
    <w:qFormat/>
    <w:uiPriority w:val="99"/>
    <w:pPr>
      <w:spacing w:after="120"/>
    </w:pPr>
  </w:style>
  <w:style w:type="paragraph" w:styleId="4">
    <w:name w:val="footer"/>
    <w:basedOn w:val="1"/>
    <w:link w:val="26"/>
    <w:uiPriority w:val="0"/>
    <w:pPr>
      <w:tabs>
        <w:tab w:val="center" w:pos="4153"/>
        <w:tab w:val="right" w:pos="8306"/>
      </w:tabs>
      <w:snapToGrid w:val="0"/>
      <w:jc w:val="left"/>
    </w:pPr>
    <w:rPr>
      <w:sz w:val="18"/>
      <w:szCs w:val="18"/>
    </w:rPr>
  </w:style>
  <w:style w:type="paragraph" w:styleId="5">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9060"/>
      </w:tabs>
      <w:spacing w:before="120" w:after="120"/>
      <w:ind w:firstLine="480"/>
      <w:jc w:val="center"/>
    </w:pPr>
    <w:rPr>
      <w:rFonts w:ascii="黑体" w:eastAsia="黑体"/>
      <w:bCs/>
      <w:caps/>
    </w:rPr>
  </w:style>
  <w:style w:type="paragraph" w:styleId="7">
    <w:name w:val="Normal (Web)"/>
    <w:basedOn w:val="1"/>
    <w:qFormat/>
    <w:uiPriority w:val="0"/>
    <w:pPr>
      <w:spacing w:beforeAutospacing="1" w:afterAutospacing="1"/>
      <w:jc w:val="left"/>
    </w:pPr>
    <w:rPr>
      <w:kern w:val="0"/>
      <w:sz w:val="24"/>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1">
    <w:name w:val="Strong"/>
    <w:basedOn w:val="10"/>
    <w:qFormat/>
    <w:uiPriority w:val="22"/>
    <w:rPr>
      <w:b/>
      <w:bCs/>
    </w:rPr>
  </w:style>
  <w:style w:type="character" w:styleId="12">
    <w:name w:val="Emphasis"/>
    <w:basedOn w:val="10"/>
    <w:qFormat/>
    <w:uiPriority w:val="0"/>
    <w:rPr>
      <w:i/>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章标题"/>
    <w:next w:val="13"/>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6">
    <w:name w:val="一级条标题"/>
    <w:next w:val="13"/>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7">
    <w:name w:val="标准文件_一级条标题"/>
    <w:basedOn w:val="18"/>
    <w:next w:val="14"/>
    <w:qFormat/>
    <w:uiPriority w:val="0"/>
    <w:pPr>
      <w:numPr>
        <w:ilvl w:val="2"/>
      </w:numPr>
      <w:spacing w:before="50" w:beforeLines="50" w:after="50" w:afterLines="50"/>
      <w:outlineLvl w:val="1"/>
    </w:pPr>
  </w:style>
  <w:style w:type="paragraph" w:customStyle="1" w:styleId="18">
    <w:name w:val="标准文件_章标题"/>
    <w:next w:val="14"/>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9">
    <w:name w:val="二级条标题"/>
    <w:basedOn w:val="16"/>
    <w:next w:val="13"/>
    <w:qFormat/>
    <w:uiPriority w:val="0"/>
    <w:pPr>
      <w:numPr>
        <w:ilvl w:val="2"/>
      </w:numPr>
      <w:spacing w:before="50" w:beforeLines="0" w:after="50" w:afterLines="0"/>
      <w:outlineLvl w:val="3"/>
    </w:pPr>
  </w:style>
  <w:style w:type="paragraph" w:styleId="20">
    <w:name w:val="List Paragraph"/>
    <w:basedOn w:val="1"/>
    <w:qFormat/>
    <w:uiPriority w:val="34"/>
    <w:pPr>
      <w:ind w:firstLine="420" w:firstLineChars="200"/>
    </w:pPr>
  </w:style>
  <w:style w:type="character" w:customStyle="1" w:styleId="21">
    <w:name w:val="font31"/>
    <w:basedOn w:val="10"/>
    <w:qFormat/>
    <w:uiPriority w:val="0"/>
    <w:rPr>
      <w:rFonts w:hint="eastAsia" w:ascii="仿宋" w:hAnsi="仿宋" w:eastAsia="仿宋" w:cs="仿宋"/>
      <w:b/>
      <w:bCs/>
      <w:color w:val="000000"/>
      <w:sz w:val="28"/>
      <w:szCs w:val="28"/>
      <w:u w:val="none"/>
    </w:rPr>
  </w:style>
  <w:style w:type="character" w:customStyle="1" w:styleId="22">
    <w:name w:val="font51"/>
    <w:basedOn w:val="10"/>
    <w:qFormat/>
    <w:uiPriority w:val="0"/>
    <w:rPr>
      <w:rFonts w:hint="eastAsia" w:ascii="仿宋" w:hAnsi="仿宋" w:eastAsia="仿宋" w:cs="仿宋"/>
      <w:b/>
      <w:bCs/>
      <w:color w:val="333333"/>
      <w:sz w:val="28"/>
      <w:szCs w:val="28"/>
      <w:u w:val="none"/>
    </w:rPr>
  </w:style>
  <w:style w:type="paragraph" w:customStyle="1" w:styleId="23">
    <w:name w:val="标准文件_二级条标题"/>
    <w:next w:val="14"/>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24">
    <w:name w:val="apple-style-span"/>
    <w:basedOn w:val="10"/>
    <w:qFormat/>
    <w:uiPriority w:val="0"/>
  </w:style>
  <w:style w:type="character" w:customStyle="1" w:styleId="25">
    <w:name w:val="页眉 字符"/>
    <w:basedOn w:val="10"/>
    <w:link w:val="5"/>
    <w:qFormat/>
    <w:uiPriority w:val="0"/>
    <w:rPr>
      <w:rFonts w:asciiTheme="minorHAnsi" w:hAnsiTheme="minorHAnsi" w:eastAsiaTheme="minorEastAsia" w:cstheme="minorBidi"/>
      <w:kern w:val="2"/>
      <w:sz w:val="18"/>
      <w:szCs w:val="18"/>
    </w:rPr>
  </w:style>
  <w:style w:type="character" w:customStyle="1" w:styleId="26">
    <w:name w:val="页脚 字符"/>
    <w:basedOn w:val="10"/>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3426</Words>
  <Characters>3884</Characters>
  <Lines>30</Lines>
  <Paragraphs>8</Paragraphs>
  <TotalTime>51</TotalTime>
  <ScaleCrop>false</ScaleCrop>
  <LinksUpToDate>false</LinksUpToDate>
  <CharactersWithSpaces>3917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2023-12-06T07:41:00Z</dcterms:created>
  <dc:creator>明月</dc:creator>
  <cp:lastModifiedBy>Administrator</cp:lastModifiedBy>
  <dcterms:modified xsi:type="dcterms:W3CDTF">2024-10-30T02:38:16Z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0729E06881524288B82C7CC17E9AB495_13</vt:lpwstr>
  </property>
</Properties>
</file>