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_GBK" w:hAnsi="方正小标宋_GBK" w:eastAsia="方正小标宋_GBK" w:cs="方正小标宋_GBK"/>
          <w:b/>
          <w:bCs/>
          <w:sz w:val="84"/>
          <w:szCs w:val="84"/>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巴彦淖尔市“十四五”消防救援事业</w:t>
      </w:r>
    </w:p>
    <w:p>
      <w:pPr>
        <w:keepNext w:val="0"/>
        <w:keepLines w:val="0"/>
        <w:pageBreakBefore w:val="0"/>
        <w:kinsoku/>
        <w:wordWrap/>
        <w:overflowPunct/>
        <w:topLinePunct w:val="0"/>
        <w:autoSpaceDE/>
        <w:autoSpaceDN/>
        <w:bidi w:val="0"/>
        <w:adjustRightInd/>
        <w:snapToGrid/>
        <w:spacing w:line="600" w:lineRule="exact"/>
        <w:jc w:val="center"/>
        <w:rPr>
          <w:rFonts w:hint="eastAsia" w:ascii="方正小标宋_GBK" w:hAnsi="方正小标宋_GBK" w:eastAsia="方正小标宋_GBK" w:cs="方正小标宋_GBK"/>
          <w:b w:val="0"/>
          <w:bCs w:val="0"/>
          <w:sz w:val="52"/>
          <w:szCs w:val="52"/>
          <w:lang w:val="en-US" w:eastAsia="zh-CN"/>
        </w:rPr>
      </w:pPr>
      <w:r>
        <w:rPr>
          <w:rFonts w:hint="eastAsia" w:ascii="方正小标宋_GBK" w:hAnsi="方正小标宋_GBK" w:eastAsia="方正小标宋_GBK" w:cs="方正小标宋_GBK"/>
          <w:b w:val="0"/>
          <w:bCs w:val="0"/>
          <w:sz w:val="52"/>
          <w:szCs w:val="52"/>
          <w:lang w:val="en-US" w:eastAsia="zh-CN"/>
        </w:rPr>
        <w:t>规划</w:t>
      </w: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44"/>
          <w:szCs w:val="44"/>
          <w:lang w:val="en-US" w:eastAsia="zh-CN"/>
        </w:rPr>
      </w:pPr>
    </w:p>
    <w:p>
      <w:pPr>
        <w:pStyle w:val="2"/>
        <w:keepNext w:val="0"/>
        <w:keepLines w:val="0"/>
        <w:pageBreakBefore w:val="0"/>
        <w:kinsoku/>
        <w:wordWrap/>
        <w:overflowPunct/>
        <w:topLinePunct w:val="0"/>
        <w:autoSpaceDE/>
        <w:autoSpaceDN/>
        <w:bidi w:val="0"/>
        <w:adjustRightInd/>
        <w:snapToGrid/>
        <w:spacing w:line="600" w:lineRule="exact"/>
        <w:jc w:val="center"/>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lang w:val="en-US" w:eastAsia="zh-CN"/>
        </w:rPr>
        <w:t>巴彦淖尔市人民政府</w:t>
      </w:r>
    </w:p>
    <w:p>
      <w:pPr>
        <w:pStyle w:val="2"/>
        <w:keepNext w:val="0"/>
        <w:keepLines w:val="0"/>
        <w:pageBreakBefore w:val="0"/>
        <w:kinsoku/>
        <w:wordWrap/>
        <w:overflowPunct/>
        <w:topLinePunct w:val="0"/>
        <w:autoSpaceDE/>
        <w:autoSpaceDN/>
        <w:bidi w:val="0"/>
        <w:adjustRightInd/>
        <w:snapToGrid/>
        <w:spacing w:line="600" w:lineRule="exact"/>
        <w:jc w:val="both"/>
        <w:rPr>
          <w:rFonts w:hint="eastAsia" w:ascii="方正楷体_GBK" w:hAnsi="方正楷体_GBK" w:eastAsia="方正楷体_GBK" w:cs="方正楷体_GBK"/>
          <w:b/>
          <w:bCs/>
          <w:sz w:val="44"/>
          <w:szCs w:val="44"/>
          <w:lang w:val="en-US" w:eastAsia="zh-CN"/>
        </w:rPr>
      </w:pPr>
    </w:p>
    <w:p>
      <w:pPr>
        <w:spacing w:before="0" w:beforeLines="0" w:after="0" w:afterLines="0" w:line="240" w:lineRule="auto"/>
        <w:ind w:left="0" w:leftChars="0" w:right="0" w:rightChars="0" w:firstLine="0" w:firstLineChars="0"/>
        <w:jc w:val="center"/>
        <w:rPr>
          <w:rFonts w:hint="eastAsia" w:ascii="方正小标宋_GBK" w:hAnsi="方正小标宋_GBK" w:eastAsia="方正小标宋_GBK" w:cs="方正小标宋_GBK"/>
          <w:kern w:val="2"/>
          <w:sz w:val="84"/>
          <w:szCs w:val="84"/>
          <w:lang w:val="en-US" w:eastAsia="zh-CN" w:bidi="ar-SA"/>
        </w:rPr>
        <w:sectPr>
          <w:footerReference r:id="rId3"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sdt>
      <w:sdtPr>
        <w:rPr>
          <w:rFonts w:hint="eastAsia" w:ascii="方正小标宋_GBK" w:hAnsi="方正小标宋_GBK" w:eastAsia="方正小标宋_GBK" w:cs="方正小标宋_GBK"/>
          <w:kern w:val="2"/>
          <w:sz w:val="84"/>
          <w:szCs w:val="84"/>
          <w:lang w:val="en-US" w:eastAsia="zh-CN" w:bidi="ar-SA"/>
        </w:rPr>
        <w:id w:val="147470025"/>
        <w15:color w:val="DBDBDB"/>
        <w:docPartObj>
          <w:docPartGallery w:val="Table of Contents"/>
          <w:docPartUnique/>
        </w:docPartObj>
      </w:sdtPr>
      <w:sdtEndPr>
        <w:rPr>
          <w:rFonts w:hint="eastAsia" w:ascii="方正仿宋_GBK" w:hAnsi="方正仿宋_GBK" w:eastAsia="方正仿宋_GBK" w:cs="方正仿宋_GBK"/>
          <w:spacing w:val="-20"/>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b/>
              <w:bCs/>
            </w:rPr>
          </w:pPr>
          <w:r>
            <w:rPr>
              <w:rFonts w:ascii="宋体" w:hAnsi="宋体" w:eastAsia="宋体"/>
              <w:b/>
              <w:bCs/>
              <w:sz w:val="21"/>
            </w:rPr>
            <w:t>目录</w:t>
          </w:r>
        </w:p>
        <w:p>
          <w:pPr>
            <w:pStyle w:val="9"/>
            <w:tabs>
              <w:tab w:val="right" w:leader="dot" w:pos="8958"/>
            </w:tabs>
          </w:pPr>
          <w:r>
            <w:rPr>
              <w:rFonts w:hint="eastAsia" w:ascii="方正仿宋_GBK" w:hAnsi="方正仿宋_GBK" w:eastAsia="方正仿宋_GBK" w:cs="方正仿宋_GBK"/>
              <w:spacing w:val="-20"/>
              <w:sz w:val="32"/>
              <w:szCs w:val="32"/>
              <w:lang w:val="en-US" w:eastAsia="zh-CN"/>
            </w:rPr>
            <w:fldChar w:fldCharType="begin"/>
          </w:r>
          <w:r>
            <w:rPr>
              <w:rFonts w:hint="eastAsia" w:ascii="方正仿宋_GBK" w:hAnsi="方正仿宋_GBK" w:eastAsia="方正仿宋_GBK" w:cs="方正仿宋_GBK"/>
              <w:spacing w:val="-20"/>
              <w:sz w:val="32"/>
              <w:szCs w:val="32"/>
              <w:lang w:val="en-US" w:eastAsia="zh-CN"/>
            </w:rPr>
            <w:instrText xml:space="preserve">TOC \o "1-3" \h \u </w:instrText>
          </w:r>
          <w:r>
            <w:rPr>
              <w:rFonts w:hint="eastAsia" w:ascii="方正仿宋_GBK" w:hAnsi="方正仿宋_GBK" w:eastAsia="方正仿宋_GBK" w:cs="方正仿宋_GBK"/>
              <w:spacing w:val="-20"/>
              <w:sz w:val="32"/>
              <w:szCs w:val="32"/>
              <w:lang w:val="en-US" w:eastAsia="zh-CN"/>
            </w:rPr>
            <w:fldChar w:fldCharType="separate"/>
          </w: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_Toc16269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第一章  规划的基础和环境</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_Toc14015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“十三五”期间建设成果</w:t>
          </w:r>
          <w:r>
            <w:tab/>
          </w:r>
          <w:r>
            <w:fldChar w:fldCharType="begin"/>
          </w:r>
          <w:r>
            <w:instrText xml:space="preserve"> PAGEREF _Toc14015 \h </w:instrText>
          </w:r>
          <w:r>
            <w:fldChar w:fldCharType="separate"/>
          </w:r>
          <w:r>
            <w:t>6</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二、</w:t>
          </w:r>
          <w:r>
            <w:rPr>
              <w:rFonts w:hint="eastAsia" w:ascii="方正楷体_GBK" w:hAnsi="方正楷体_GBK" w:eastAsia="方正楷体_GBK" w:cs="方正楷体_GBK"/>
              <w:bCs/>
              <w:spacing w:val="-20"/>
              <w:szCs w:val="32"/>
            </w:rPr>
            <w:t>规划的环境</w:t>
          </w:r>
          <w:r>
            <w:tab/>
          </w:r>
          <w:r>
            <w:fldChar w:fldCharType="begin"/>
          </w:r>
          <w:r>
            <w:instrText xml:space="preserve"> PAGEREF _Toc29591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_Toc23547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（一）</w:t>
          </w:r>
          <w:r>
            <w:rPr>
              <w:rFonts w:hint="eastAsia" w:ascii="方正仿宋_GBK" w:hAnsi="方正仿宋_GBK" w:eastAsia="方正仿宋_GBK" w:cs="方正仿宋_GBK"/>
              <w:bCs/>
              <w:spacing w:val="-20"/>
              <w:szCs w:val="32"/>
            </w:rPr>
            <w:t>面临的机遇</w:t>
          </w:r>
          <w:r>
            <w:tab/>
          </w:r>
          <w:r>
            <w:fldChar w:fldCharType="begin"/>
          </w:r>
          <w:r>
            <w:instrText xml:space="preserve"> PAGEREF _Toc23547 \h </w:instrText>
          </w:r>
          <w:r>
            <w:fldChar w:fldCharType="separate"/>
          </w:r>
          <w:r>
            <w:t>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_Toc29561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eastAsia="zh-CN"/>
            </w:rPr>
            <w:t>（二）</w:t>
          </w:r>
          <w:r>
            <w:rPr>
              <w:rFonts w:hint="eastAsia" w:ascii="方正仿宋_GBK" w:hAnsi="方正仿宋_GBK" w:eastAsia="方正仿宋_GBK" w:cs="方正仿宋_GBK"/>
              <w:bCs/>
              <w:spacing w:val="-20"/>
              <w:szCs w:val="32"/>
            </w:rPr>
            <w:t>面临的挑战</w:t>
          </w:r>
          <w:r>
            <w:tab/>
          </w:r>
          <w:r>
            <w:fldChar w:fldCharType="begin"/>
          </w:r>
          <w:r>
            <w:instrText xml:space="preserve"> PAGEREF _Toc29561 \h </w:instrText>
          </w:r>
          <w:r>
            <w:fldChar w:fldCharType="separate"/>
          </w:r>
          <w:r>
            <w:t>9</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_Toc29359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第二章  指导思想、基本原则和建设目标</w:t>
          </w:r>
          <w:r>
            <w:tab/>
          </w:r>
          <w:r>
            <w:fldChar w:fldCharType="begin"/>
          </w:r>
          <w:r>
            <w:instrText xml:space="preserve"> PAGEREF _Toc29359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_Toc15592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指导思想</w:t>
          </w:r>
          <w:r>
            <w:tab/>
          </w:r>
          <w:r>
            <w:fldChar w:fldCharType="begin"/>
          </w:r>
          <w:r>
            <w:instrText xml:space="preserve"> PAGEREF _Toc15592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_Toc31707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rPr>
            <w:t>基本原则</w:t>
          </w:r>
          <w:r>
            <w:tab/>
          </w:r>
          <w:r>
            <w:fldChar w:fldCharType="begin"/>
          </w:r>
          <w:r>
            <w:instrText xml:space="preserve"> PAGEREF _Toc31707 \h </w:instrText>
          </w:r>
          <w:r>
            <w:fldChar w:fldCharType="separate"/>
          </w:r>
          <w:r>
            <w:t>11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_Toc18073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建设目标</w:t>
          </w:r>
          <w:r>
            <w:tab/>
          </w:r>
          <w:r>
            <w:fldChar w:fldCharType="begin"/>
          </w:r>
          <w:r>
            <w:instrText xml:space="preserve"> PAGEREF _Toc18073 \h </w:instrText>
          </w:r>
          <w:r>
            <w:fldChar w:fldCharType="separate"/>
          </w:r>
          <w:r>
            <w:t>12</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_Toc28232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第三章  主要任务和重大</w:t>
          </w:r>
          <w:r>
            <w:rPr>
              <w:rFonts w:hint="eastAsia" w:ascii="方正黑体_GBK" w:hAnsi="方正黑体_GBK" w:eastAsia="方正黑体_GBK" w:cs="方正黑体_GBK"/>
              <w:bCs w:val="0"/>
              <w:spacing w:val="-20"/>
              <w:szCs w:val="32"/>
              <w:lang w:eastAsia="zh-CN"/>
            </w:rPr>
            <w:t>项目</w:t>
          </w:r>
          <w:r>
            <w:tab/>
          </w:r>
          <w:r>
            <w:fldChar w:fldCharType="begin"/>
          </w:r>
          <w:r>
            <w:instrText xml:space="preserve"> PAGEREF _Toc28232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_Toc17268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一</w:t>
          </w:r>
          <w:r>
            <w:rPr>
              <w:rFonts w:hint="eastAsia" w:ascii="方正楷体_GBK" w:hAnsi="方正楷体_GBK" w:eastAsia="方正楷体_GBK" w:cs="方正楷体_GBK"/>
              <w:bCs/>
              <w:spacing w:val="-20"/>
              <w:szCs w:val="32"/>
              <w:lang w:val="en-US" w:eastAsia="zh-CN"/>
            </w:rPr>
            <w:t xml:space="preserve"> </w:t>
          </w:r>
          <w:r>
            <w:rPr>
              <w:rFonts w:hint="eastAsia" w:ascii="方正楷体_GBK" w:hAnsi="方正楷体_GBK" w:eastAsia="方正楷体_GBK" w:cs="方正楷体_GBK"/>
              <w:bCs/>
              <w:spacing w:val="-20"/>
              <w:szCs w:val="32"/>
              <w:lang w:eastAsia="zh-CN"/>
            </w:rPr>
            <w:t>、</w:t>
          </w:r>
          <w:r>
            <w:rPr>
              <w:rFonts w:hint="eastAsia" w:ascii="方正楷体_GBK" w:hAnsi="方正楷体_GBK" w:eastAsia="方正楷体_GBK" w:cs="方正楷体_GBK"/>
              <w:bCs/>
              <w:spacing w:val="-20"/>
              <w:szCs w:val="32"/>
            </w:rPr>
            <w:t>全面推动消防安全责任落实</w:t>
          </w:r>
          <w:r>
            <w:tab/>
          </w:r>
          <w:r>
            <w:fldChar w:fldCharType="begin"/>
          </w:r>
          <w:r>
            <w:instrText xml:space="preserve"> PAGEREF _Toc17268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_Toc29560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（一）落实党委政府领导责任</w:t>
          </w:r>
          <w:r>
            <w:tab/>
          </w:r>
          <w:r>
            <w:fldChar w:fldCharType="begin"/>
          </w:r>
          <w:r>
            <w:instrText xml:space="preserve"> PAGEREF _Toc29560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_Toc22590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（二）落实行业部门监管责任</w:t>
          </w:r>
          <w:r>
            <w:tab/>
          </w:r>
          <w:r>
            <w:fldChar w:fldCharType="begin"/>
          </w:r>
          <w:r>
            <w:instrText xml:space="preserve"> PAGEREF _Toc22590 \h </w:instrText>
          </w:r>
          <w:r>
            <w:fldChar w:fldCharType="separate"/>
          </w:r>
          <w:r>
            <w:t>14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_Toc295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（三）落实社会单位主体责任</w:t>
          </w:r>
          <w:r>
            <w:tab/>
          </w:r>
          <w:r>
            <w:fldChar w:fldCharType="begin"/>
          </w:r>
          <w:r>
            <w:instrText xml:space="preserve"> PAGEREF _Toc295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_Toc8109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rPr>
            <w:t>二、 全面推进公共消防设施建设</w:t>
          </w:r>
          <w:r>
            <w:tab/>
          </w:r>
          <w:r>
            <w:fldChar w:fldCharType="begin"/>
          </w:r>
          <w:r>
            <w:instrText xml:space="preserve"> PAGEREF _Toc8109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_Toc23437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（一）加强消防经费保障建设</w:t>
          </w:r>
          <w:r>
            <w:tab/>
          </w:r>
          <w:r>
            <w:fldChar w:fldCharType="begin"/>
          </w:r>
          <w:r>
            <w:instrText xml:space="preserve"> PAGEREF _Toc23437 \h </w:instrText>
          </w:r>
          <w:r>
            <w:fldChar w:fldCharType="separate"/>
          </w:r>
          <w:r>
            <w:t>15</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_Toc30724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（二）加强公共消防基础建设</w:t>
          </w:r>
          <w:r>
            <w:tab/>
          </w:r>
          <w:r>
            <w:fldChar w:fldCharType="begin"/>
          </w:r>
          <w:r>
            <w:instrText xml:space="preserve"> PAGEREF _Toc30724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_Toc12043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（三）加强消防队站建设</w:t>
          </w:r>
          <w:r>
            <w:tab/>
          </w:r>
          <w:r>
            <w:fldChar w:fldCharType="begin"/>
          </w:r>
          <w:r>
            <w:instrText xml:space="preserve"> PAGEREF _Toc12043 \h </w:instrText>
          </w:r>
          <w:r>
            <w:fldChar w:fldCharType="separate"/>
          </w:r>
          <w:r>
            <w:t>16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_Toc11944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（四）加强消防装备建设</w:t>
          </w:r>
          <w:r>
            <w:tab/>
          </w:r>
          <w:r>
            <w:fldChar w:fldCharType="begin"/>
          </w:r>
          <w:r>
            <w:instrText xml:space="preserve"> PAGEREF _Toc11944 \h </w:instrText>
          </w:r>
          <w:r>
            <w:fldChar w:fldCharType="separate"/>
          </w:r>
          <w:r>
            <w:t>17</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_Toc9191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三</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全面提升火灾防控治理能力</w:t>
          </w:r>
          <w:r>
            <w:tab/>
          </w:r>
          <w:r>
            <w:fldChar w:fldCharType="begin"/>
          </w:r>
          <w:r>
            <w:instrText xml:space="preserve"> PAGEREF _Toc9191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（一）强化消防综合治理</w:t>
          </w:r>
          <w:r>
            <w:tab/>
          </w:r>
          <w:r>
            <w:fldChar w:fldCharType="begin"/>
          </w:r>
          <w:r>
            <w:instrText xml:space="preserve"> PAGEREF _Toc339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_Toc9539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（二）创新消防安全管理</w:t>
          </w:r>
          <w:r>
            <w:tab/>
          </w:r>
          <w:r>
            <w:fldChar w:fldCharType="begin"/>
          </w:r>
          <w:r>
            <w:instrText xml:space="preserve"> PAGEREF _Toc9539 \h </w:instrText>
          </w:r>
          <w:r>
            <w:fldChar w:fldCharType="separate"/>
          </w:r>
          <w:r>
            <w:t>18</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_Toc27078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（三）推动社会群防群治</w:t>
          </w:r>
          <w:r>
            <w:tab/>
          </w:r>
          <w:r>
            <w:fldChar w:fldCharType="begin"/>
          </w:r>
          <w:r>
            <w:instrText xml:space="preserve"> PAGEREF _Toc27078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_Toc7286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（四）深化消防执法改革</w:t>
          </w:r>
          <w:r>
            <w:tab/>
          </w:r>
          <w:r>
            <w:fldChar w:fldCharType="begin"/>
          </w:r>
          <w:r>
            <w:instrText xml:space="preserve"> PAGEREF _Toc7286 \h </w:instrText>
          </w:r>
          <w:r>
            <w:fldChar w:fldCharType="separate"/>
          </w:r>
          <w:r>
            <w:t>19</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_Toc4140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四</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加强农村牧区消防工作</w:t>
          </w:r>
          <w:r>
            <w:tab/>
          </w:r>
          <w:r>
            <w:fldChar w:fldCharType="begin"/>
          </w:r>
          <w:r>
            <w:instrText xml:space="preserve"> PAGEREF _Toc4140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_Toc11367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（一）构建农村牧区消防治理保障体系</w:t>
          </w:r>
          <w:r>
            <w:tab/>
          </w:r>
          <w:r>
            <w:fldChar w:fldCharType="begin"/>
          </w:r>
          <w:r>
            <w:instrText xml:space="preserve"> PAGEREF _Toc11367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_Toc24979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（二）加大农村消防基础设施建设</w:t>
          </w:r>
          <w:r>
            <w:tab/>
          </w:r>
          <w:r>
            <w:fldChar w:fldCharType="begin"/>
          </w:r>
          <w:r>
            <w:instrText xml:space="preserve"> PAGEREF _Toc24979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_Toc5284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（三）推进农村消防站建设</w:t>
          </w:r>
          <w:r>
            <w:tab/>
          </w:r>
          <w:r>
            <w:fldChar w:fldCharType="begin"/>
          </w:r>
          <w:r>
            <w:instrText xml:space="preserve"> PAGEREF _Toc5284 \h </w:instrText>
          </w:r>
          <w:r>
            <w:fldChar w:fldCharType="separate"/>
          </w:r>
          <w:r>
            <w:t>20</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_Toc29474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（四）有效减少农村火灾</w:t>
          </w:r>
          <w:r>
            <w:tab/>
          </w:r>
          <w:r>
            <w:fldChar w:fldCharType="begin"/>
          </w:r>
          <w:r>
            <w:instrText xml:space="preserve"> PAGEREF _Toc29474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_Toc25159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五</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全面加强消防宣传教育培训</w:t>
          </w:r>
          <w:r>
            <w:tab/>
          </w:r>
          <w:r>
            <w:fldChar w:fldCharType="begin"/>
          </w:r>
          <w:r>
            <w:instrText xml:space="preserve"> PAGEREF _Toc25159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_Toc24558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（一）加强消防宣传政策保障</w:t>
          </w:r>
          <w:r>
            <w:tab/>
          </w:r>
          <w:r>
            <w:fldChar w:fldCharType="begin"/>
          </w:r>
          <w:r>
            <w:instrText xml:space="preserve"> PAGEREF _Toc24558 \h </w:instrText>
          </w:r>
          <w:r>
            <w:fldChar w:fldCharType="separate"/>
          </w:r>
          <w:r>
            <w:t>21</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_Toc1253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（二）推进消防宣传基础设施建设</w:t>
          </w:r>
          <w:r>
            <w:tab/>
          </w:r>
          <w:r>
            <w:fldChar w:fldCharType="begin"/>
          </w:r>
          <w:r>
            <w:instrText xml:space="preserve"> PAGEREF _Toc1253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_Toc32422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（三）实施全民消防教育培训计划</w:t>
          </w:r>
          <w:r>
            <w:tab/>
          </w:r>
          <w:r>
            <w:fldChar w:fldCharType="begin"/>
          </w:r>
          <w:r>
            <w:instrText xml:space="preserve"> PAGEREF _Toc32422 \h </w:instrText>
          </w:r>
          <w:r>
            <w:fldChar w:fldCharType="separate"/>
          </w:r>
          <w:r>
            <w:t>22</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_Toc20513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六</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构建消防救援力量体系</w:t>
          </w:r>
          <w:r>
            <w:tab/>
          </w:r>
          <w:r>
            <w:fldChar w:fldCharType="begin"/>
          </w:r>
          <w:r>
            <w:instrText xml:space="preserve"> PAGEREF _Toc20513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_Toc30059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（一）加强应急联动机制建设</w:t>
          </w:r>
          <w:r>
            <w:tab/>
          </w:r>
          <w:r>
            <w:fldChar w:fldCharType="begin"/>
          </w:r>
          <w:r>
            <w:instrText xml:space="preserve"> PAGEREF _Toc30059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_Toc30352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（二）加强水域航空救援队伍建设。</w:t>
          </w:r>
          <w:r>
            <w:tab/>
          </w:r>
          <w:r>
            <w:fldChar w:fldCharType="begin"/>
          </w:r>
          <w:r>
            <w:instrText xml:space="preserve"> PAGEREF _Toc30352 \h </w:instrText>
          </w:r>
          <w:r>
            <w:fldChar w:fldCharType="separate"/>
          </w:r>
          <w:r>
            <w:t>23</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_Toc9608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（三）加强专业化攻坚队伍建设。</w:t>
          </w:r>
          <w:r>
            <w:tab/>
          </w:r>
          <w:r>
            <w:fldChar w:fldCharType="begin"/>
          </w:r>
          <w:r>
            <w:instrText xml:space="preserve"> PAGEREF _Toc9608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_Toc12567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（四）加强战勤保障体系建设</w:t>
          </w:r>
          <w:r>
            <w:tab/>
          </w:r>
          <w:r>
            <w:fldChar w:fldCharType="begin"/>
          </w:r>
          <w:r>
            <w:instrText xml:space="preserve"> PAGEREF _Toc12567 \h </w:instrText>
          </w:r>
          <w:r>
            <w:fldChar w:fldCharType="separate"/>
          </w:r>
          <w:r>
            <w:t>24</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_Toc30197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（五）加强多元消防力量建设</w:t>
          </w:r>
          <w:r>
            <w:tab/>
          </w:r>
          <w:r>
            <w:fldChar w:fldCharType="begin"/>
          </w:r>
          <w:r>
            <w:instrText xml:space="preserve"> PAGEREF _Toc30197 \h </w:instrText>
          </w:r>
          <w:r>
            <w:fldChar w:fldCharType="separate"/>
          </w:r>
          <w:r>
            <w:t>25</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_Toc7661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七、</w:t>
          </w:r>
          <w:r>
            <w:rPr>
              <w:rFonts w:hint="eastAsia" w:ascii="方正楷体_GBK" w:hAnsi="方正楷体_GBK" w:eastAsia="方正楷体_GBK" w:cs="方正楷体_GBK"/>
              <w:bCs/>
              <w:spacing w:val="-20"/>
              <w:szCs w:val="32"/>
            </w:rPr>
            <w:t>深化消防信息化建设</w:t>
          </w:r>
          <w:r>
            <w:tab/>
          </w:r>
          <w:r>
            <w:fldChar w:fldCharType="begin"/>
          </w:r>
          <w:r>
            <w:instrText xml:space="preserve"> PAGEREF _Toc7661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_Toc31419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（一）打造新型指挥体系</w:t>
          </w:r>
          <w:r>
            <w:tab/>
          </w:r>
          <w:r>
            <w:fldChar w:fldCharType="begin"/>
          </w:r>
          <w:r>
            <w:instrText xml:space="preserve"> PAGEREF _Toc31419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_Toc31967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（二）建强应急通信体系</w:t>
          </w:r>
          <w:r>
            <w:tab/>
          </w:r>
          <w:r>
            <w:fldChar w:fldCharType="begin"/>
          </w:r>
          <w:r>
            <w:instrText xml:space="preserve"> PAGEREF _Toc31967 \h </w:instrText>
          </w:r>
          <w:r>
            <w:fldChar w:fldCharType="separate"/>
          </w:r>
          <w:r>
            <w:t>26</w:t>
          </w:r>
          <w:r>
            <w:fldChar w:fldCharType="end"/>
          </w:r>
          <w:r>
            <w:rPr>
              <w:rFonts w:hint="eastAsia" w:ascii="方正仿宋_GBK" w:hAnsi="方正仿宋_GBK" w:eastAsia="方正仿宋_GBK" w:cs="方正仿宋_GBK"/>
              <w:spacing w:val="-20"/>
              <w:szCs w:val="32"/>
              <w:lang w:val="en-US" w:eastAsia="zh-CN"/>
            </w:rPr>
            <w:fldChar w:fldCharType="end"/>
          </w:r>
        </w:p>
        <w:p>
          <w:pPr>
            <w:pStyle w:val="6"/>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_Toc10424 </w:instrText>
          </w:r>
          <w:r>
            <w:rPr>
              <w:rFonts w:hint="eastAsia" w:ascii="方正仿宋_GBK" w:hAnsi="方正仿宋_GBK" w:eastAsia="方正仿宋_GBK" w:cs="方正仿宋_GBK"/>
              <w:spacing w:val="-20"/>
              <w:szCs w:val="32"/>
              <w:lang w:val="en-US" w:eastAsia="zh-CN"/>
            </w:rPr>
            <w:fldChar w:fldCharType="separate"/>
          </w:r>
          <w:r>
            <w:rPr>
              <w:rFonts w:hint="eastAsia" w:ascii="方正仿宋_GBK" w:hAnsi="方正仿宋_GBK" w:eastAsia="方正仿宋_GBK" w:cs="方正仿宋_GBK"/>
              <w:bCs/>
              <w:spacing w:val="-20"/>
              <w:szCs w:val="32"/>
              <w:lang w:val="en-US" w:eastAsia="zh-CN"/>
            </w:rPr>
            <w:t>（三）深化“智慧消防”建设</w:t>
          </w:r>
          <w:r>
            <w:tab/>
          </w:r>
          <w:r>
            <w:fldChar w:fldCharType="begin"/>
          </w:r>
          <w:r>
            <w:instrText xml:space="preserve"> PAGEREF _Toc10424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pPr>
            <w:pStyle w:val="10"/>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_Toc23183 </w:instrText>
          </w:r>
          <w:r>
            <w:rPr>
              <w:rFonts w:hint="eastAsia" w:ascii="方正仿宋_GBK" w:hAnsi="方正仿宋_GBK" w:eastAsia="方正仿宋_GBK" w:cs="方正仿宋_GBK"/>
              <w:spacing w:val="-20"/>
              <w:szCs w:val="32"/>
              <w:lang w:val="en-US" w:eastAsia="zh-CN"/>
            </w:rPr>
            <w:fldChar w:fldCharType="separate"/>
          </w:r>
          <w:r>
            <w:rPr>
              <w:rFonts w:hint="eastAsia" w:ascii="方正楷体_GBK" w:hAnsi="方正楷体_GBK" w:eastAsia="方正楷体_GBK" w:cs="方正楷体_GBK"/>
              <w:bCs/>
              <w:spacing w:val="-20"/>
              <w:szCs w:val="32"/>
              <w:lang w:eastAsia="zh-CN"/>
            </w:rPr>
            <w:t>八</w:t>
          </w:r>
          <w:r>
            <w:rPr>
              <w:rFonts w:hint="eastAsia" w:ascii="方正楷体_GBK" w:hAnsi="方正楷体_GBK" w:eastAsia="方正楷体_GBK" w:cs="方正楷体_GBK"/>
              <w:bCs/>
              <w:spacing w:val="-20"/>
              <w:szCs w:val="32"/>
              <w:lang w:val="en-US" w:eastAsia="zh-CN"/>
            </w:rPr>
            <w:t>、</w:t>
          </w:r>
          <w:r>
            <w:rPr>
              <w:rFonts w:hint="eastAsia" w:ascii="方正楷体_GBK" w:hAnsi="方正楷体_GBK" w:eastAsia="方正楷体_GBK" w:cs="方正楷体_GBK"/>
              <w:bCs/>
              <w:spacing w:val="-20"/>
              <w:szCs w:val="32"/>
            </w:rPr>
            <w:t>加强消防职业保障</w:t>
          </w:r>
          <w:r>
            <w:tab/>
          </w:r>
          <w:r>
            <w:fldChar w:fldCharType="begin"/>
          </w:r>
          <w:r>
            <w:instrText xml:space="preserve"> PAGEREF _Toc23183 \h </w:instrText>
          </w:r>
          <w:r>
            <w:fldChar w:fldCharType="separate"/>
          </w:r>
          <w:r>
            <w:t>27</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_Toc89 </w:instrText>
          </w:r>
          <w:r>
            <w:rPr>
              <w:rFonts w:hint="eastAsia" w:ascii="方正仿宋_GBK" w:hAnsi="方正仿宋_GBK" w:eastAsia="方正仿宋_GBK" w:cs="方正仿宋_GBK"/>
              <w:spacing w:val="-20"/>
              <w:szCs w:val="32"/>
              <w:lang w:val="en-US" w:eastAsia="zh-CN"/>
            </w:rPr>
            <w:fldChar w:fldCharType="separate"/>
          </w:r>
          <w:r>
            <w:rPr>
              <w:rFonts w:hint="eastAsia" w:ascii="方正黑体_GBK" w:hAnsi="方正黑体_GBK" w:eastAsia="方正黑体_GBK" w:cs="方正黑体_GBK"/>
              <w:bCs w:val="0"/>
              <w:spacing w:val="-20"/>
              <w:szCs w:val="32"/>
            </w:rPr>
            <w:t>第四章 保障措施</w:t>
          </w:r>
          <w:r>
            <w:tab/>
          </w:r>
          <w:r>
            <w:fldChar w:fldCharType="begin"/>
          </w:r>
          <w:r>
            <w:instrText xml:space="preserve"> PAGEREF _Toc89 \h </w:instrText>
          </w:r>
          <w:r>
            <w:fldChar w:fldCharType="separate"/>
          </w:r>
          <w:r>
            <w:t>28</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_Toc2749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bCs/>
              <w:snapToGrid w:val="0"/>
              <w:kern w:val="0"/>
              <w:szCs w:val="22"/>
              <w:lang w:eastAsia="zh-CN"/>
            </w:rPr>
            <w:t>附表：</w:t>
          </w:r>
          <w:r>
            <w:tab/>
          </w:r>
          <w:r>
            <w:fldChar w:fldCharType="begin"/>
          </w:r>
          <w:r>
            <w:instrText xml:space="preserve"> PAGEREF _Toc2749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_Toc12094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1、 “十四五”期间消防站建设规划表</w:t>
          </w:r>
          <w:r>
            <w:tab/>
          </w:r>
          <w:r>
            <w:fldChar w:fldCharType="begin"/>
          </w:r>
          <w:r>
            <w:instrText xml:space="preserve"> PAGEREF _Toc12094 \h </w:instrText>
          </w:r>
          <w:r>
            <w:fldChar w:fldCharType="separate"/>
          </w:r>
          <w:r>
            <w:t>30</w:t>
          </w:r>
          <w:r>
            <w:fldChar w:fldCharType="end"/>
          </w:r>
          <w:r>
            <w:rPr>
              <w:rFonts w:hint="eastAsia" w:ascii="方正仿宋_GBK" w:hAnsi="方正仿宋_GBK" w:eastAsia="方正仿宋_GBK" w:cs="方正仿宋_GBK"/>
              <w:spacing w:val="-20"/>
              <w:szCs w:val="32"/>
              <w:lang w:val="en-US" w:eastAsia="zh-CN"/>
            </w:rPr>
            <w:fldChar w:fldCharType="end"/>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_Toc4580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2、 “十四五”期间消防救援车辆装备建设规划表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0</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_Toc26598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3、 “十四五”期间消防救援队伍器材装备配备规划表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3</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_Toc24750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4、 “十四五”期间市政消火栓建设规划表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4</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_Toc26583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5、 “十四五”规划新建农村消防站统计表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5</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_Toc6154 </w:instrText>
          </w:r>
          <w:r>
            <w:rPr>
              <w:rFonts w:hint="eastAsia" w:ascii="方正仿宋_GBK" w:hAnsi="方正仿宋_GBK" w:eastAsia="方正仿宋_GBK" w:cs="方正仿宋_GBK"/>
              <w:spacing w:val="-20"/>
              <w:szCs w:val="32"/>
              <w:lang w:val="en-US" w:eastAsia="zh-CN"/>
            </w:rPr>
            <w:fldChar w:fldCharType="separate"/>
          </w:r>
          <w:r>
            <w:rPr>
              <w:rFonts w:hint="eastAsia" w:ascii="仿宋_GB2312" w:hAnsi="仿宋_GB2312" w:eastAsia="仿宋_GB2312" w:cs="仿宋_GB2312"/>
              <w:snapToGrid w:val="0"/>
              <w:kern w:val="0"/>
              <w:szCs w:val="22"/>
              <w:lang w:val="en-US" w:eastAsia="zh-CN"/>
            </w:rPr>
            <w:t>6、 “十四五”规划新建城市政府专职消防队统计表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6</w:t>
          </w:r>
        </w:p>
        <w:p>
          <w:pPr>
            <w:pStyle w:val="9"/>
            <w:tabs>
              <w:tab w:val="right" w:leader="dot" w:pos="8958"/>
            </w:tabs>
            <w:rPr>
              <w:rFonts w:hint="default"/>
              <w:lang w:val="en-US"/>
            </w:rPr>
          </w:pPr>
          <w:r>
            <w:rPr>
              <w:rFonts w:hint="eastAsia" w:ascii="方正仿宋_GBK" w:hAnsi="方正仿宋_GBK" w:eastAsia="方正仿宋_GBK" w:cs="方正仿宋_GBK"/>
              <w:spacing w:val="-20"/>
              <w:szCs w:val="32"/>
              <w:lang w:val="en-US" w:eastAsia="zh-CN"/>
            </w:rPr>
            <w:fldChar w:fldCharType="begin"/>
          </w:r>
          <w:r>
            <w:rPr>
              <w:rFonts w:hint="eastAsia" w:ascii="方正仿宋_GBK" w:hAnsi="方正仿宋_GBK" w:eastAsia="方正仿宋_GBK" w:cs="方正仿宋_GBK"/>
              <w:spacing w:val="-20"/>
              <w:szCs w:val="32"/>
              <w:lang w:val="en-US" w:eastAsia="zh-CN"/>
            </w:rPr>
            <w:instrText xml:space="preserve"> HYPERLINK \l _Toc10201 </w:instrText>
          </w:r>
          <w:r>
            <w:rPr>
              <w:rFonts w:hint="eastAsia" w:ascii="方正仿宋_GBK" w:hAnsi="方正仿宋_GBK" w:eastAsia="方正仿宋_GBK" w:cs="方正仿宋_GBK"/>
              <w:spacing w:val="-20"/>
              <w:szCs w:val="32"/>
              <w:lang w:val="en-US" w:eastAsia="zh-CN"/>
            </w:rPr>
            <w:fldChar w:fldCharType="separate"/>
          </w:r>
          <w:r>
            <w:rPr>
              <w:rFonts w:hint="default" w:ascii="仿宋_GB2312" w:hAnsi="仿宋_GB2312" w:eastAsia="仿宋_GB2312" w:cs="仿宋_GB2312"/>
              <w:snapToGrid w:val="0"/>
              <w:kern w:val="0"/>
              <w:szCs w:val="22"/>
              <w:lang w:val="en-US" w:eastAsia="zh-CN"/>
            </w:rPr>
            <w:t xml:space="preserve">7、 </w:t>
          </w:r>
          <w:r>
            <w:rPr>
              <w:rFonts w:hint="eastAsia" w:ascii="仿宋_GB2312" w:hAnsi="仿宋_GB2312" w:eastAsia="仿宋_GB2312" w:cs="仿宋_GB2312"/>
              <w:snapToGrid w:val="0"/>
              <w:kern w:val="0"/>
              <w:szCs w:val="22"/>
              <w:lang w:val="en-US" w:eastAsia="zh-CN"/>
            </w:rPr>
            <w:t>“十四五”期间政府专职队车辆装备建设规划表</w:t>
          </w:r>
          <w:r>
            <w:tab/>
          </w:r>
          <w:r>
            <w:rPr>
              <w:rFonts w:hint="eastAsia"/>
              <w:lang w:val="en-US" w:eastAsia="zh-CN"/>
            </w:rPr>
            <w:t>3</w:t>
          </w:r>
          <w:r>
            <w:rPr>
              <w:rFonts w:hint="eastAsia" w:ascii="方正仿宋_GBK" w:hAnsi="方正仿宋_GBK" w:eastAsia="方正仿宋_GBK" w:cs="方正仿宋_GBK"/>
              <w:spacing w:val="-20"/>
              <w:szCs w:val="32"/>
              <w:lang w:val="en-US" w:eastAsia="zh-CN"/>
            </w:rPr>
            <w:fldChar w:fldCharType="end"/>
          </w:r>
          <w:r>
            <w:rPr>
              <w:rFonts w:hint="eastAsia" w:ascii="方正仿宋_GBK" w:hAnsi="方正仿宋_GBK" w:eastAsia="方正仿宋_GBK" w:cs="方正仿宋_GBK"/>
              <w:spacing w:val="-20"/>
              <w:szCs w:val="32"/>
              <w:lang w:val="en-US" w:eastAsia="zh-CN"/>
            </w:rPr>
            <w:t>7</w:t>
          </w:r>
        </w:p>
        <w:p>
          <w:pPr>
            <w:ind w:firstLine="34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Cs w:val="32"/>
              <w:lang w:val="en-US" w:eastAsia="zh-CN"/>
            </w:rPr>
            <w:fldChar w:fldCharType="end"/>
          </w:r>
        </w:p>
      </w:sdtContent>
    </w:sdt>
    <w:p>
      <w:pPr>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br w:type="page"/>
      </w:r>
    </w:p>
    <w:p>
      <w:pPr>
        <w:keepNext w:val="0"/>
        <w:keepLines w:val="0"/>
        <w:pageBreakBefore w:val="0"/>
        <w:kinsoku/>
        <w:wordWrap/>
        <w:overflowPunct/>
        <w:topLinePunct w:val="0"/>
        <w:autoSpaceDE/>
        <w:autoSpaceDN/>
        <w:bidi w:val="0"/>
        <w:spacing w:line="600" w:lineRule="exact"/>
        <w:ind w:firstLine="560" w:firstLineChars="200"/>
        <w:rPr>
          <w:rFonts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rPr>
        <w:t>“十四五”时期是我国全面建设社会主义现代化</w:t>
      </w:r>
      <w:r>
        <w:rPr>
          <w:rFonts w:hint="eastAsia" w:ascii="方正仿宋_GBK" w:hAnsi="方正仿宋_GBK" w:eastAsia="方正仿宋_GBK" w:cs="方正仿宋_GBK"/>
          <w:spacing w:val="-20"/>
          <w:sz w:val="32"/>
          <w:szCs w:val="32"/>
          <w:lang w:eastAsia="zh-CN"/>
        </w:rPr>
        <w:t>强国</w:t>
      </w:r>
      <w:r>
        <w:rPr>
          <w:rFonts w:hint="eastAsia" w:ascii="方正仿宋_GBK" w:hAnsi="方正仿宋_GBK" w:eastAsia="方正仿宋_GBK" w:cs="方正仿宋_GBK"/>
          <w:spacing w:val="-20"/>
          <w:sz w:val="32"/>
          <w:szCs w:val="32"/>
        </w:rPr>
        <w:t>的</w:t>
      </w:r>
      <w:r>
        <w:rPr>
          <w:rFonts w:hint="eastAsia" w:ascii="方正仿宋_GBK" w:hAnsi="方正仿宋_GBK" w:eastAsia="方正仿宋_GBK" w:cs="方正仿宋_GBK"/>
          <w:spacing w:val="-20"/>
          <w:sz w:val="32"/>
          <w:szCs w:val="32"/>
          <w:lang w:eastAsia="zh-CN"/>
        </w:rPr>
        <w:t>重要</w:t>
      </w:r>
      <w:r>
        <w:rPr>
          <w:rFonts w:hint="eastAsia" w:ascii="方正仿宋_GBK" w:hAnsi="方正仿宋_GBK" w:eastAsia="方正仿宋_GBK" w:cs="方正仿宋_GBK"/>
          <w:spacing w:val="-20"/>
          <w:sz w:val="32"/>
          <w:szCs w:val="32"/>
        </w:rPr>
        <w:t>时期，也是</w:t>
      </w:r>
      <w:r>
        <w:rPr>
          <w:rFonts w:hint="eastAsia" w:ascii="方正仿宋_GBK" w:hAnsi="方正仿宋_GBK" w:eastAsia="方正仿宋_GBK" w:cs="方正仿宋_GBK"/>
          <w:spacing w:val="-20"/>
          <w:sz w:val="32"/>
          <w:szCs w:val="32"/>
          <w:lang w:eastAsia="zh-CN"/>
        </w:rPr>
        <w:t>巴彦淖尔</w:t>
      </w:r>
      <w:r>
        <w:rPr>
          <w:rFonts w:hint="eastAsia" w:ascii="方正仿宋_GBK" w:hAnsi="方正仿宋_GBK" w:eastAsia="方正仿宋_GBK" w:cs="方正仿宋_GBK"/>
          <w:spacing w:val="-20"/>
          <w:sz w:val="32"/>
          <w:szCs w:val="32"/>
        </w:rPr>
        <w:t>实现绿色高质量发展的攻坚时期。为进一步推进“十四五”期间我市消防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事业发展，根据《中华人民共和国消防法》《内蒙古自治区消防条例》《巴彦淖尔市“十四五”发展规划编制工作方案》（巴政办发〔2020〕4号），结合我市经济社会发展的实际，编制本规划。本规划是“十四五”期间我市消防</w:t>
      </w:r>
      <w:r>
        <w:rPr>
          <w:rFonts w:hint="eastAsia" w:ascii="方正仿宋_GBK" w:hAnsi="方正仿宋_GBK" w:eastAsia="方正仿宋_GBK" w:cs="方正仿宋_GBK"/>
          <w:spacing w:val="-20"/>
          <w:sz w:val="32"/>
          <w:szCs w:val="32"/>
          <w:lang w:eastAsia="zh-CN"/>
        </w:rPr>
        <w:t>救援</w:t>
      </w:r>
      <w:r>
        <w:rPr>
          <w:rFonts w:hint="eastAsia" w:ascii="方正仿宋_GBK" w:hAnsi="方正仿宋_GBK" w:eastAsia="方正仿宋_GBK" w:cs="方正仿宋_GBK"/>
          <w:spacing w:val="-20"/>
          <w:sz w:val="32"/>
          <w:szCs w:val="32"/>
        </w:rPr>
        <w:t>工作的指导性文件，规划期为2021年至2025年。</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楷体_GBK" w:hAnsi="方正楷体_GBK" w:eastAsia="方正楷体_GBK" w:cs="方正楷体_GBK"/>
          <w:b/>
          <w:bCs/>
          <w:spacing w:val="-20"/>
          <w:sz w:val="32"/>
          <w:szCs w:val="32"/>
        </w:rPr>
      </w:pPr>
      <w:bookmarkStart w:id="0" w:name="_Toc16269"/>
      <w:r>
        <w:rPr>
          <w:rFonts w:hint="eastAsia" w:ascii="方正黑体_GBK" w:hAnsi="方正黑体_GBK" w:eastAsia="方正黑体_GBK" w:cs="方正黑体_GBK"/>
          <w:b w:val="0"/>
          <w:bCs w:val="0"/>
          <w:spacing w:val="-20"/>
          <w:sz w:val="32"/>
          <w:szCs w:val="32"/>
        </w:rPr>
        <w:t>第一章  规划的基础和环境</w:t>
      </w:r>
      <w:bookmarkEnd w:id="0"/>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val="0"/>
          <w:bCs w:val="0"/>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1" w:name="_Toc14015"/>
      <w:r>
        <w:rPr>
          <w:rFonts w:hint="eastAsia" w:ascii="方正楷体_GBK" w:hAnsi="方正楷体_GBK" w:eastAsia="方正楷体_GBK" w:cs="方正楷体_GBK"/>
          <w:b/>
          <w:bCs/>
          <w:spacing w:val="-20"/>
          <w:sz w:val="32"/>
          <w:szCs w:val="32"/>
          <w:lang w:eastAsia="zh-CN"/>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“十三五”期间建设成果</w:t>
      </w:r>
      <w:bookmarkEnd w:id="1"/>
    </w:p>
    <w:p>
      <w:pPr>
        <w:pStyle w:val="2"/>
      </w:pP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三五”期间，全市消防救援事业在习近平总书记训词精神的统领下，在市委、市政府的正确领导和社会各界的大力支持下，不断健全“党政同责、一岗双责、失职追责、齐抓共管”的消防安全责任体系，大力推进消防治理体系和治理能力现代化建设，圆满完成各项重大消防安保任务，群众安全感和满意度不断提升，</w:t>
      </w:r>
      <w:r>
        <w:rPr>
          <w:rFonts w:hint="default" w:ascii="方正仿宋_GBK" w:hAnsi="方正仿宋_GBK" w:eastAsia="方正仿宋_GBK" w:cs="方正仿宋_GBK"/>
          <w:spacing w:val="-20"/>
          <w:sz w:val="32"/>
          <w:szCs w:val="32"/>
          <w:lang w:val="en-US" w:eastAsia="zh-CN"/>
        </w:rPr>
        <w:t>连续26年未发生较大及以上火灾事故</w:t>
      </w:r>
      <w:r>
        <w:rPr>
          <w:rFonts w:hint="eastAsia" w:ascii="方正仿宋_GBK" w:hAnsi="方正仿宋_GBK" w:cs="方正仿宋_GBK"/>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为加快建设生态化田园城市创造了良好的消防安全环境，较好地实现了“十三五”规划目标。</w:t>
      </w:r>
    </w:p>
    <w:p>
      <w:pPr>
        <w:keepNext w:val="0"/>
        <w:keepLines w:val="0"/>
        <w:pageBreakBefore w:val="0"/>
        <w:kinsoku/>
        <w:wordWrap/>
        <w:overflowPunct/>
        <w:topLinePunct w:val="0"/>
        <w:autoSpaceDE/>
        <w:autoSpaceDN/>
        <w:bidi w:val="0"/>
        <w:spacing w:line="600" w:lineRule="exact"/>
        <w:ind w:firstLine="562"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消防安全责任落实取得新成效。市人大开展《消防法》执法检查，推动政府、部门落实责任，不断优化公共消防安全顶层设计。市人民政府制定出台《巴彦淖尔市安全生产和消防工作考核办法》《关于进一步加强消防工作有关事宜的通知》等规范性文件，实体化运作防火安全委员会、重点行业消防联席会议、多警联勤、警消联勤等消防工作机制平台，政府各部门、行业系统和公安机关各警种间信息共享、隐患抄告、联合执法更加顺畅紧密。</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社会消防环境有了新改善。扎实推进夏季消防检查、冬春火灾防控等系列专项整治行动，协同治理群租房、“多合一”场所、“九小”场所、临街商铺、城中村等顽症痼疾，重点排查督改人员密集场所、易燃易爆危险品场所、高层建筑火灾隐患。“十三五”期间，全市各级消防救援机构共检查社会单位6.07万家，发现火灾隐患9.8万处，罚款 1675.95万元，责令停产停业481家，临时查封468家，拘留45人，整改了一大批火灾隐患，确保了火灾形势的持续稳定。</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 xml:space="preserve">——全民消防意识得到新提高。扎实推进消防宣传教育“五进”活动，切实将消防安全纳入基础教育、职业培训和干部培训体系，组织7000余名基层消防安全网格管理人员和6万余名社会群众参加消防安全专业培训。做实做强“96119”火灾隐患举报投诉热线平台，持续扩大微博、微信覆盖面和影响力，有效利用新兴媒体平台，有力促进公众消防安全素质提升。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——综合保障能力取得新突破。全市各级</w:t>
      </w:r>
      <w:r>
        <w:rPr>
          <w:rFonts w:hint="eastAsia" w:ascii="方正仿宋_GBK" w:hAnsi="方正仿宋_GBK" w:eastAsia="方正仿宋_GBK" w:cs="方正仿宋_GBK"/>
          <w:color w:val="auto"/>
          <w:spacing w:val="-20"/>
          <w:sz w:val="32"/>
          <w:szCs w:val="32"/>
          <w:lang w:val="en-US" w:eastAsia="zh-CN"/>
        </w:rPr>
        <w:t>政府投入消防经费总量达1.7亿元，年平均增幅达5.9%，经费总量是“十二五”期间的1.4倍。</w:t>
      </w:r>
      <w:r>
        <w:rPr>
          <w:rFonts w:hint="eastAsia" w:ascii="方正仿宋_GBK" w:hAnsi="方正仿宋_GBK" w:eastAsia="方正仿宋_GBK" w:cs="方正仿宋_GBK"/>
          <w:spacing w:val="-20"/>
          <w:sz w:val="32"/>
          <w:szCs w:val="32"/>
          <w:lang w:val="en-US" w:eastAsia="zh-CN"/>
        </w:rPr>
        <w:t>全市进一步加大消防站和综合训练场馆建设力度，消防站总数达到9个，建成农村消防站31座，“十三五”期间规划任务完成率达到82.9%。新建消火栓791个，消防水鹤123座，采购举高、抢险、防化、供水等消防车辆26台，农村消防站小型消防车10辆，各类器材装备2.27万件（套）。</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pP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实战打赢水平实现新提升。依照灾害特点划分五大战区，定期组织供水、电力、燃气、应急管理、市场监督、环保等部门和各专业处置力量，开展燃气管道、道路交通、人员密集、危险化学品、大跨度大空间仓储等不同类型、不同规模的应急联勤处置演练。组建道路交通、地震、水域、石油化工4类攻坚专业队。“十三五”期间，全市消防救援队伍共接处警7180起，抢救疏散被困人员947人，抢救财产价值4.2亿元，成功处置“1</w:t>
      </w:r>
      <w:r>
        <w:rPr>
          <w:rFonts w:hint="eastAsia" w:ascii="方正仿宋_GBK" w:hAnsi="方正仿宋_GBK" w:eastAsia="方正仿宋_GBK" w:cs="方正仿宋_GBK"/>
          <w:color w:val="auto"/>
          <w:spacing w:val="-20"/>
          <w:sz w:val="32"/>
          <w:szCs w:val="32"/>
          <w:lang w:val="en-US" w:eastAsia="zh-CN"/>
        </w:rPr>
        <w:t>2.22”磴口乌兰布和乳业火灾、“2.26”乌拉特中旗毅腾煤业火灾</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、“7.23”乌拉特前旗洪水等各类灾害事故。</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600" w:lineRule="exact"/>
        <w:jc w:val="center"/>
        <w:outlineLvl w:val="1"/>
        <w:rPr>
          <w:rFonts w:hint="eastAsia"/>
        </w:rPr>
      </w:pPr>
      <w:bookmarkStart w:id="2" w:name="_Toc29591"/>
      <w:r>
        <w:rPr>
          <w:rFonts w:hint="eastAsia" w:ascii="方正楷体_GBK" w:hAnsi="方正楷体_GBK" w:eastAsia="方正楷体_GBK" w:cs="方正楷体_GBK"/>
          <w:b/>
          <w:bCs/>
          <w:spacing w:val="-20"/>
          <w:sz w:val="32"/>
          <w:szCs w:val="32"/>
          <w:lang w:eastAsia="zh-CN"/>
        </w:rPr>
        <w:t>二、</w:t>
      </w:r>
      <w:r>
        <w:rPr>
          <w:rFonts w:hint="eastAsia" w:ascii="方正楷体_GBK" w:hAnsi="方正楷体_GBK" w:eastAsia="方正楷体_GBK" w:cs="方正楷体_GBK"/>
          <w:b/>
          <w:bCs/>
          <w:spacing w:val="-20"/>
          <w:sz w:val="32"/>
          <w:szCs w:val="32"/>
        </w:rPr>
        <w:t>规划的环境</w:t>
      </w:r>
      <w:bookmarkEnd w:id="2"/>
    </w:p>
    <w:p>
      <w:pPr>
        <w:keepNext w:val="0"/>
        <w:keepLines w:val="0"/>
        <w:pageBreakBefore w:val="0"/>
        <w:kinsoku/>
        <w:wordWrap/>
        <w:overflowPunct/>
        <w:topLinePunct w:val="0"/>
        <w:autoSpaceDE/>
        <w:autoSpaceDN/>
        <w:bidi w:val="0"/>
        <w:adjustRightInd w:val="0"/>
        <w:snapToGrid w:val="0"/>
        <w:spacing w:line="600" w:lineRule="exact"/>
        <w:ind w:firstLine="562" w:firstLineChars="200"/>
        <w:jc w:val="left"/>
        <w:outlineLvl w:val="2"/>
        <w:rPr>
          <w:rFonts w:hint="eastAsia" w:ascii="方正仿宋_GBK" w:hAnsi="方正仿宋_GBK" w:eastAsia="方正仿宋_GBK" w:cs="方正仿宋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jc w:val="left"/>
        <w:outlineLvl w:val="2"/>
        <w:rPr>
          <w:rFonts w:hint="eastAsia" w:ascii="方正仿宋_GBK" w:hAnsi="方正仿宋_GBK" w:eastAsia="方正仿宋_GBK" w:cs="方正仿宋_GBK"/>
          <w:b/>
          <w:bCs/>
          <w:spacing w:val="-20"/>
          <w:sz w:val="32"/>
          <w:szCs w:val="32"/>
        </w:rPr>
      </w:pPr>
      <w:bookmarkStart w:id="3" w:name="_Toc23547"/>
      <w:r>
        <w:rPr>
          <w:rFonts w:hint="eastAsia" w:ascii="方正仿宋_GBK" w:hAnsi="方正仿宋_GBK" w:eastAsia="方正仿宋_GBK" w:cs="方正仿宋_GBK"/>
          <w:b/>
          <w:bCs/>
          <w:spacing w:val="-20"/>
          <w:sz w:val="32"/>
          <w:szCs w:val="32"/>
          <w:lang w:eastAsia="zh-CN"/>
        </w:rPr>
        <w:t>（一）</w:t>
      </w:r>
      <w:r>
        <w:rPr>
          <w:rFonts w:hint="eastAsia" w:ascii="方正仿宋_GBK" w:hAnsi="方正仿宋_GBK" w:eastAsia="方正仿宋_GBK" w:cs="方正仿宋_GBK"/>
          <w:b/>
          <w:bCs/>
          <w:spacing w:val="-20"/>
          <w:sz w:val="32"/>
          <w:szCs w:val="32"/>
        </w:rPr>
        <w:t>面临的机遇</w:t>
      </w:r>
      <w:bookmarkEnd w:id="3"/>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2018年3月13日，第十三届全国人民代表大会第一次会议审议通过国务院机</w:t>
      </w:r>
      <w:r>
        <w:rPr>
          <w:rFonts w:hint="eastAsia" w:ascii="方正仿宋_GBK" w:hAnsi="方正仿宋_GBK" w:eastAsia="方正仿宋_GBK" w:cs="方正仿宋_GBK"/>
          <w:color w:val="auto"/>
          <w:spacing w:val="-20"/>
          <w:sz w:val="32"/>
          <w:szCs w:val="32"/>
          <w:lang w:val="en-US" w:eastAsia="zh-CN"/>
        </w:rPr>
        <w:t>构改革方案，</w:t>
      </w:r>
      <w:r>
        <w:rPr>
          <w:rFonts w:hint="eastAsia" w:ascii="方正仿宋_GBK" w:hAnsi="方正仿宋_GBK" w:eastAsia="方正仿宋_GBK" w:cs="方正仿宋_GBK"/>
          <w:spacing w:val="-20"/>
          <w:sz w:val="32"/>
          <w:szCs w:val="32"/>
          <w:lang w:val="en-US" w:eastAsia="zh-CN"/>
        </w:rPr>
        <w:t>组建中华人民共和国应急管理部。2018年11月9日，中共中央总书记、国家主席、中央军委主席习近平在人民大会堂向国家综合性消防救援队伍授旗致训词。组建国家综合性消防救援队伍，是党中央提升国家治理能力现代化作出的战略决策，也是构建新时代国家应急救援体系的重要举措，更是我市消防救援事</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业加速发展</w:t>
      </w:r>
      <w:r>
        <w:rPr>
          <w:rFonts w:hint="eastAsia" w:ascii="方正仿宋_GBK" w:hAnsi="方正仿宋_GBK" w:eastAsia="方正仿宋_GBK" w:cs="方正仿宋_GBK"/>
          <w:spacing w:val="-20"/>
          <w:sz w:val="32"/>
          <w:szCs w:val="32"/>
          <w:lang w:val="en-US" w:eastAsia="zh-CN"/>
        </w:rPr>
        <w:t>的有利契机。</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bookmarkStart w:id="4" w:name="_Toc54617957"/>
      <w:bookmarkStart w:id="5" w:name="_Toc44430365"/>
      <w:r>
        <w:rPr>
          <w:rFonts w:hint="eastAsia" w:ascii="方正仿宋_GBK" w:hAnsi="方正仿宋_GBK" w:eastAsia="方正仿宋_GBK" w:cs="方正仿宋_GBK"/>
          <w:spacing w:val="-20"/>
          <w:sz w:val="32"/>
          <w:szCs w:val="32"/>
          <w:lang w:val="en-US" w:eastAsia="zh-CN"/>
        </w:rPr>
        <w:t>——消防救援事业步入快速发展</w:t>
      </w:r>
      <w:bookmarkEnd w:id="4"/>
      <w:bookmarkEnd w:id="5"/>
      <w:r>
        <w:rPr>
          <w:rFonts w:hint="eastAsia" w:ascii="方正仿宋_GBK" w:hAnsi="方正仿宋_GBK" w:eastAsia="方正仿宋_GBK" w:cs="方正仿宋_GBK"/>
          <w:spacing w:val="-20"/>
          <w:sz w:val="32"/>
          <w:szCs w:val="32"/>
          <w:lang w:val="en-US" w:eastAsia="zh-CN"/>
        </w:rPr>
        <w:t>轨道。消防救援事业内容纳入巴彦淖尔市“十四五”发展规划、国土空间规划、全区乡村振兴战略规划，实现消防救援事业发展与国民经济发展相适应，消防专项工作与其他重点专项工作相协调，应急救援体系构建、消防基础设施建设、信息化水平提升等内容与相关支柱产业、跨地区重大基础设施项目相衔接，同步部署、同步研究、同步编制，形成一本规划、一张蓝图。</w:t>
      </w:r>
    </w:p>
    <w:p>
      <w:pPr>
        <w:keepNext w:val="0"/>
        <w:keepLines w:val="0"/>
        <w:pageBreakBefore w:val="0"/>
        <w:kinsoku/>
        <w:wordWrap/>
        <w:overflowPunct/>
        <w:topLinePunct w:val="0"/>
        <w:autoSpaceDE/>
        <w:autoSpaceDN/>
        <w:bidi w:val="0"/>
        <w:spacing w:line="600" w:lineRule="exact"/>
        <w:ind w:firstLine="562" w:firstLineChars="200"/>
        <w:rPr>
          <w:rFonts w:hint="eastAsia" w:ascii="方正仿宋_GBK" w:hAnsi="方正仿宋_GBK" w:eastAsia="方正仿宋_GBK" w:cs="方正仿宋_GBK"/>
          <w:spacing w:val="-20"/>
          <w:sz w:val="32"/>
          <w:szCs w:val="32"/>
          <w:lang w:val="en-US" w:eastAsia="zh-CN"/>
        </w:rPr>
      </w:pPr>
      <w:bookmarkStart w:id="6" w:name="_Toc44430362"/>
      <w:bookmarkStart w:id="7" w:name="_Toc54617955"/>
      <w:r>
        <w:rPr>
          <w:rFonts w:hint="eastAsia" w:ascii="方正楷体_GBK" w:hAnsi="方正楷体_GBK" w:eastAsia="方正楷体_GBK" w:cs="方正楷体_GBK"/>
          <w:b/>
          <w:bCs/>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—消防救援职能广泛拓展</w:t>
      </w:r>
      <w:bookmarkEnd w:id="6"/>
      <w:bookmarkEnd w:id="7"/>
      <w:r>
        <w:rPr>
          <w:rFonts w:hint="eastAsia" w:ascii="方正仿宋_GBK" w:hAnsi="方正仿宋_GBK" w:eastAsia="方正仿宋_GBK" w:cs="方正仿宋_GBK"/>
          <w:spacing w:val="-20"/>
          <w:sz w:val="32"/>
          <w:szCs w:val="32"/>
          <w:lang w:val="en-US" w:eastAsia="zh-CN"/>
        </w:rPr>
        <w:t>。国家综合性消防救援队伍按照习近平总书记“对党忠诚、纪律严明、赴汤蹈火、竭诚为民”的四句话总要求，严格执行纪律部队建设标准，是应急救援的主力军和国家队，承担着防范化解重大安全风险，应对处置各类灾害事故，维护人民群众生命财产安全，维护社会稳定的重要职责使命。</w:t>
      </w:r>
      <w:r>
        <w:rPr>
          <w:rFonts w:hint="eastAsia" w:ascii="方正仿宋_GBK" w:hAnsi="方正仿宋_GBK" w:eastAsia="方正仿宋_GBK" w:cs="方正仿宋_GBK"/>
          <w:color w:val="000000" w:themeColor="text1"/>
          <w:spacing w:val="-20"/>
          <w:sz w:val="32"/>
          <w:szCs w:val="32"/>
          <w:lang w:val="en-US" w:eastAsia="zh-CN"/>
          <w14:textFill>
            <w14:solidFill>
              <w14:schemeClr w14:val="tx1"/>
            </w14:solidFill>
          </w14:textFill>
        </w:rPr>
        <w:t>着眼“全灾种、大应急”形势任务需要，着力从救援理念、职能、能力、装备、方式、机制等6个方面推动队伍转型升级，</w:t>
      </w:r>
      <w:r>
        <w:rPr>
          <w:rFonts w:hint="eastAsia" w:ascii="方正仿宋_GBK" w:hAnsi="方正仿宋_GBK" w:eastAsia="方正仿宋_GBK" w:cs="方正仿宋_GBK"/>
          <w:spacing w:val="-20"/>
          <w:sz w:val="32"/>
          <w:szCs w:val="32"/>
          <w:lang w:val="en-US" w:eastAsia="zh-CN"/>
        </w:rPr>
        <w:t>在组织指挥、联动机制、训练演练、战勤保障等方面改革创新。</w:t>
      </w:r>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bookmarkStart w:id="8" w:name="_Toc44430363"/>
      <w:bookmarkStart w:id="9" w:name="_Toc54617956"/>
      <w:bookmarkStart w:id="10" w:name="_Toc42585814"/>
      <w:bookmarkStart w:id="11" w:name="_Toc37067990"/>
      <w:bookmarkStart w:id="12" w:name="_Toc42585888"/>
      <w:r>
        <w:rPr>
          <w:rFonts w:hint="eastAsia" w:ascii="方正仿宋_GBK" w:hAnsi="方正仿宋_GBK" w:eastAsia="方正仿宋_GBK" w:cs="方正仿宋_GBK"/>
          <w:spacing w:val="-20"/>
          <w:sz w:val="32"/>
          <w:szCs w:val="32"/>
          <w:lang w:val="en-US" w:eastAsia="zh-CN"/>
        </w:rPr>
        <w:t>——消防执法监督改革不断深</w:t>
      </w:r>
      <w:bookmarkEnd w:id="8"/>
      <w:r>
        <w:rPr>
          <w:rFonts w:hint="eastAsia" w:ascii="方正仿宋_GBK" w:hAnsi="方正仿宋_GBK" w:eastAsia="方正仿宋_GBK" w:cs="方正仿宋_GBK"/>
          <w:spacing w:val="-20"/>
          <w:sz w:val="32"/>
          <w:szCs w:val="32"/>
          <w:lang w:val="en-US" w:eastAsia="zh-CN"/>
        </w:rPr>
        <w:t>入</w:t>
      </w:r>
      <w:bookmarkEnd w:id="9"/>
      <w:r>
        <w:rPr>
          <w:rFonts w:hint="eastAsia" w:ascii="方正仿宋_GBK" w:hAnsi="方正仿宋_GBK" w:eastAsia="方正仿宋_GBK" w:cs="方正仿宋_GBK"/>
          <w:spacing w:val="-20"/>
          <w:sz w:val="32"/>
          <w:szCs w:val="32"/>
          <w:lang w:val="en-US" w:eastAsia="zh-CN"/>
        </w:rPr>
        <w:t xml:space="preserve">。按照党中央、国务院消防执法改革决策部署，推动消防执法理念、制度、作风全方位深层次变革。简政放权，取消和精简3项消防审批；加强和规范事中事后监管，落实“双随机、一公开”监管机制和火灾多发频发行业领域重点监管，将消防违法违规行为记入信用记录实施联合惩戒，强化火灾事故倒查追责；实施消防执法全过程记录、法制审核、执法公示制度，严格限制处罚自由裁量权；优化营商环境，推行预约办理，多渠道多途径提高办事效率和服务水平。 </w:t>
      </w:r>
    </w:p>
    <w:bookmarkEnd w:id="10"/>
    <w:bookmarkEnd w:id="11"/>
    <w:bookmarkEnd w:id="12"/>
    <w:p>
      <w:pPr>
        <w:keepNext w:val="0"/>
        <w:keepLines w:val="0"/>
        <w:pageBreakBefore w:val="0"/>
        <w:kinsoku/>
        <w:wordWrap/>
        <w:overflowPunct/>
        <w:topLinePunct w:val="0"/>
        <w:autoSpaceDE/>
        <w:autoSpaceDN/>
        <w:bidi w:val="0"/>
        <w:adjustRightInd w:val="0"/>
        <w:snapToGrid w:val="0"/>
        <w:spacing w:line="600" w:lineRule="exact"/>
        <w:ind w:firstLine="562" w:firstLineChars="200"/>
        <w:jc w:val="left"/>
        <w:outlineLvl w:val="2"/>
        <w:rPr>
          <w:rFonts w:hint="eastAsia" w:ascii="方正仿宋_GBK" w:hAnsi="方正仿宋_GBK" w:eastAsia="方正仿宋_GBK" w:cs="方正仿宋_GBK"/>
          <w:b/>
          <w:bCs/>
          <w:spacing w:val="-20"/>
          <w:sz w:val="32"/>
          <w:szCs w:val="32"/>
        </w:rPr>
      </w:pPr>
      <w:bookmarkStart w:id="13" w:name="_Toc29561"/>
      <w:r>
        <w:rPr>
          <w:rFonts w:hint="eastAsia" w:ascii="方正仿宋_GBK" w:hAnsi="方正仿宋_GBK" w:eastAsia="方正仿宋_GBK" w:cs="方正仿宋_GBK"/>
          <w:b/>
          <w:bCs/>
          <w:spacing w:val="-20"/>
          <w:sz w:val="32"/>
          <w:szCs w:val="32"/>
          <w:lang w:eastAsia="zh-CN"/>
        </w:rPr>
        <w:t>（二）</w:t>
      </w:r>
      <w:r>
        <w:rPr>
          <w:rFonts w:hint="eastAsia" w:ascii="方正仿宋_GBK" w:hAnsi="方正仿宋_GBK" w:eastAsia="方正仿宋_GBK" w:cs="方正仿宋_GBK"/>
          <w:b/>
          <w:bCs/>
          <w:spacing w:val="-20"/>
          <w:sz w:val="32"/>
          <w:szCs w:val="32"/>
        </w:rPr>
        <w:t>面临的挑战</w:t>
      </w:r>
      <w:bookmarkEnd w:id="13"/>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城乡火灾形势依然严峻。“十三五”期间全市农村火灾仍占较大比重，但城市火灾略有上升趋势。企业火灾降幅明显，但个体私营企业火灾占较大比重，发生火灾的个体经营户和私营企业大多为小作坊、小饭店、小门面和家庭式工厂，其中尤以“三合一”、“多合一”场所居多。家庭亡人火灾不容忽视，近几年我市亡人火灾，多发生在村民、居民住宅，且死亡人员多为老幼病残等弱势群体。</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风险不断积聚。随着经济社会的发展，城市规模日益扩大，结构日趋复杂，城市建设、城市综合体、高层地下建筑、危旧房屋、人员密集场所以及肉羊冷链产业、物流业、电子商务、风电、光伏、储能等新业态消防安全风险突出，城市安全管理难度增大。</w:t>
      </w:r>
      <w:r>
        <w:rPr>
          <w:rFonts w:hint="default" w:ascii="方正仿宋_GBK" w:hAnsi="方正仿宋_GBK" w:eastAsia="方正仿宋_GBK" w:cs="方正仿宋_GBK"/>
          <w:spacing w:val="-20"/>
          <w:sz w:val="32"/>
          <w:szCs w:val="32"/>
          <w:lang w:val="en-US" w:eastAsia="zh-CN"/>
        </w:rPr>
        <w:t>老建筑、老生产工艺及其设备逐步进入风险临界点，</w:t>
      </w:r>
      <w:r>
        <w:rPr>
          <w:rFonts w:hint="eastAsia" w:ascii="方正仿宋_GBK" w:hAnsi="方正仿宋_GBK" w:eastAsia="方正仿宋_GBK" w:cs="方正仿宋_GBK"/>
          <w:spacing w:val="-20"/>
          <w:sz w:val="32"/>
          <w:szCs w:val="32"/>
          <w:lang w:val="en-US" w:eastAsia="zh-CN"/>
        </w:rPr>
        <w:t>新技术、新产品、新材料广泛应用，各种传统与非传统、确定与不确定的因素相互交织，火灾发生几率和防控难度急剧增大，给消防安全管理工作带来新的挑战。</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责任落实存在缺位。乡（镇）人民政府、街道办事处等基层政府组织机构，消防安全“网格化”管理不到位。行业部门在消防安全管理上存在固化思维，意识有偏差，片面认为消防安全监管是消防救援机构一家之事。行业系统中普遍缺乏消防安全“明白人”，不会培训指导单位员工，不能检查发现安全隐患，不知如何落实防范措施。部分社会单位消防安全责任主体意识不强，消防组织不健全，消防制度不落实，违法、违规、带“病”经营现象仍然存在。</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基层基础工作仍有短板。农村牧区经济快速发展，火灾风险日益增大，而乡镇、苏木对农村牧区消防工作重视程度普遍不够、部署落实不到位、预防火灾措施乏力，未将消防事业经费纳入预算，派出所消防监管职能明显弱化，基层消防监管力量不足，农村等末端环节出现盲点或空转。城乡消防发展极不平衡，全市90%以上乡镇、农村没有消防基础设施。专兼职消防队伍建设相对滞后，全市虽建有31个农村消防站，但经费得不到保障、车辆老旧、装备不足、人员缺乏，严重影响战斗力。群众消防安全意识淡薄、消防安全知识匮乏、自防自救能力差。</w:t>
      </w:r>
    </w:p>
    <w:p>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bCs/>
          <w:spacing w:val="-20"/>
          <w:sz w:val="32"/>
          <w:szCs w:val="32"/>
        </w:rPr>
      </w:pPr>
      <w:r>
        <w:rPr>
          <w:rFonts w:hint="eastAsia" w:ascii="方正仿宋_GBK" w:hAnsi="方正仿宋_GBK" w:eastAsia="方正仿宋_GBK" w:cs="方正仿宋_GBK"/>
          <w:spacing w:val="-20"/>
          <w:sz w:val="32"/>
          <w:szCs w:val="32"/>
          <w:lang w:val="en-US" w:eastAsia="zh-CN"/>
        </w:rPr>
        <w:t>——救援资源配置矛盾凸显。改革转隶后，消防救援队伍承担着全灾种、大应急的职能，是主力军、国家队，尤其在城市化进程不断加快的大环境下，各种生产、生活领域的突发性火灾救援难度往往非常大，各类高层建筑、油气储罐火灾，道路交通事故、自然灾害事故多样化，输入性灾害不断，消防救援队伍必须要从理念、职能、能力、装备等各个方面推进队伍转型升级，满足经济社会安全发展所需。我市现有消防队站数量不足，缺少高精尖装备器材，亟需破解消防救援资源配置失衡的问题。</w:t>
      </w: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14" w:name="_Toc29359"/>
      <w:r>
        <w:rPr>
          <w:rFonts w:hint="eastAsia" w:ascii="方正黑体_GBK" w:hAnsi="方正黑体_GBK" w:eastAsia="方正黑体_GBK" w:cs="方正黑体_GBK"/>
          <w:b w:val="0"/>
          <w:bCs w:val="0"/>
          <w:spacing w:val="-20"/>
          <w:sz w:val="32"/>
          <w:szCs w:val="32"/>
        </w:rPr>
        <w:t>第二章  指导思想、基本原则和建设目标</w:t>
      </w:r>
      <w:bookmarkEnd w:id="14"/>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ascii="方正楷体_GBK" w:hAnsi="方正楷体_GBK" w:eastAsia="方正楷体_GBK" w:cs="方正楷体_GBK"/>
          <w:b w:val="0"/>
          <w:bCs w:val="0"/>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5" w:name="_Toc15592"/>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指导思想</w:t>
      </w:r>
      <w:bookmarkEnd w:id="15"/>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消防救援事业规划，以新时代中国特色社会主义思想为指导，全面贯彻党的十九大和十九届二中、三中、四中、五中、六中全会精神，深入贯彻习近平总书记重要训词精神，立足消防救援队伍发展的历史方位，坚持改革正确方向，积极推进我市消防救援事业高质量发展，不断提高我市消防治理体系和治理能力现代化，为城市经济发展、社会稳定和人民群众安居乐业提供强有力的消防安全保障。</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6" w:name="_Toc31707"/>
      <w:r>
        <w:rPr>
          <w:rFonts w:hint="eastAsia" w:ascii="方正楷体_GBK" w:hAnsi="方正楷体_GBK" w:eastAsia="方正楷体_GBK" w:cs="方正楷体_GBK"/>
          <w:b/>
          <w:bCs/>
          <w:spacing w:val="-20"/>
          <w:sz w:val="32"/>
          <w:szCs w:val="32"/>
        </w:rPr>
        <w:t>二</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rPr>
        <w:t>基本原则</w:t>
      </w:r>
      <w:bookmarkEnd w:id="16"/>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——坚持融入大局、协调发展，有效统筹消防工作与经济社会发展的关系，推进城乡消防工作一体化，着力促进经济社会高质量发展；</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——坚持综合治理、标本兼治，深入构建以消防安全责任制落实为核心、多元主体共同参与的社会消防治理机制，着力净化社会面消防安全环境；</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——坚持依法治火、科技先行，以法治思维和方式推动消防救援事业发展，依靠科技进步不断提升城市火灾防控水平，着力完善消防法治化建设和技术支撑体系；</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——坚持以人为本、科学施救，全力保障人民群众生命财产安全，着力提高公民消防安全素质。</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7" w:name="_Toc18073"/>
      <w:r>
        <w:rPr>
          <w:rFonts w:hint="eastAsia" w:ascii="方正楷体_GBK" w:hAnsi="方正楷体_GBK" w:eastAsia="方正楷体_GBK" w:cs="方正楷体_GBK"/>
          <w:b/>
          <w:bCs/>
          <w:spacing w:val="-20"/>
          <w:sz w:val="32"/>
          <w:szCs w:val="32"/>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建设目标</w:t>
      </w:r>
      <w:bookmarkEnd w:id="1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十四五”期间，以消防责任、消防法制、重点管控、宣传教育、社会治理、综合保障、应急救援、工作考核为重点，加快构建与城市经济社会发展水平相匹配、相适应的公共安全火灾防控体系，有效遏制“小火亡人”事故，坚决杜绝重特大火灾尤其是群死群伤火灾事故发生，全力确保我市消防安全和人民群众安居乐业。</w:t>
      </w:r>
    </w:p>
    <w:p>
      <w:pPr>
        <w:pStyle w:val="2"/>
        <w:rPr>
          <w:rFonts w:hint="eastAsia"/>
          <w:lang w:val="en-US" w:eastAsia="zh-CN"/>
        </w:rPr>
      </w:pPr>
    </w:p>
    <w:tbl>
      <w:tblPr>
        <w:tblStyle w:val="12"/>
        <w:tblW w:w="918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817"/>
        <w:gridCol w:w="3604"/>
        <w:gridCol w:w="2268"/>
        <w:gridCol w:w="1417"/>
        <w:gridCol w:w="107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9180" w:type="dxa"/>
            <w:gridSpan w:val="5"/>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黑体"/>
                <w:b/>
                <w:sz w:val="30"/>
                <w:szCs w:val="30"/>
              </w:rPr>
            </w:pPr>
            <w:r>
              <w:rPr>
                <w:rStyle w:val="21"/>
                <w:rFonts w:ascii="Times New Roman" w:hAnsi="Times New Roman" w:eastAsia="黑体"/>
                <w:b/>
                <w:sz w:val="30"/>
                <w:szCs w:val="30"/>
              </w:rPr>
              <w:t>专栏1  “十四五”消防救援事业发展主要指标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序号</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指标内容</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2020年基准值</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规划目标</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属性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1</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百万人火灾死亡率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下降5%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预期性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2</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专职消防人员占总人口比例</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hint="default" w:ascii="Times New Roman" w:hAnsi="Times New Roman" w:eastAsia="宋体"/>
                <w:color w:val="auto"/>
                <w:sz w:val="28"/>
                <w:szCs w:val="28"/>
                <w:lang w:val="en-US" w:eastAsia="zh-CN"/>
              </w:rPr>
            </w:pPr>
            <w:r>
              <w:rPr>
                <w:rStyle w:val="21"/>
                <w:rFonts w:hint="eastAsia"/>
                <w:color w:val="auto"/>
                <w:sz w:val="28"/>
                <w:szCs w:val="28"/>
                <w:lang w:val="en-US" w:eastAsia="zh-CN"/>
              </w:rPr>
              <w:t>1.94</w:t>
            </w:r>
            <w:r>
              <w:rPr>
                <w:rStyle w:val="21"/>
                <w:rFonts w:ascii="Times New Roman" w:hAnsi="Times New Roman" w:eastAsia="宋体"/>
                <w:color w:val="auto"/>
                <w:sz w:val="28"/>
                <w:szCs w:val="28"/>
              </w:rPr>
              <w:t>人/万人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提高60%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3</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color w:val="auto"/>
                <w:sz w:val="28"/>
                <w:szCs w:val="28"/>
              </w:rPr>
            </w:pPr>
            <w:r>
              <w:rPr>
                <w:rStyle w:val="21"/>
                <w:rFonts w:ascii="Times New Roman" w:hAnsi="Times New Roman" w:eastAsia="宋体"/>
                <w:color w:val="auto"/>
                <w:sz w:val="28"/>
                <w:szCs w:val="28"/>
              </w:rPr>
              <w:t>十万人拥有消防救援站</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color w:val="auto"/>
                <w:sz w:val="28"/>
                <w:szCs w:val="28"/>
              </w:rPr>
            </w:pPr>
            <w:r>
              <w:rPr>
                <w:rStyle w:val="21"/>
                <w:rFonts w:ascii="Times New Roman" w:hAnsi="Times New Roman" w:eastAsia="宋体"/>
                <w:color w:val="auto"/>
                <w:sz w:val="28"/>
                <w:szCs w:val="28"/>
              </w:rPr>
              <w:t>0.6</w:t>
            </w:r>
            <w:r>
              <w:rPr>
                <w:rStyle w:val="21"/>
                <w:rFonts w:hint="eastAsia"/>
                <w:color w:val="auto"/>
                <w:sz w:val="28"/>
                <w:szCs w:val="28"/>
                <w:lang w:val="en-US" w:eastAsia="zh-CN"/>
              </w:rPr>
              <w:t>12</w:t>
            </w:r>
            <w:r>
              <w:rPr>
                <w:rStyle w:val="21"/>
                <w:rFonts w:ascii="Times New Roman" w:hAnsi="Times New Roman" w:eastAsia="宋体"/>
                <w:color w:val="auto"/>
                <w:sz w:val="28"/>
                <w:szCs w:val="28"/>
              </w:rPr>
              <w:t>座/十万人</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提高50%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color w:val="auto"/>
                <w:sz w:val="28"/>
                <w:szCs w:val="28"/>
              </w:rPr>
            </w:pPr>
            <w:r>
              <w:rPr>
                <w:rStyle w:val="21"/>
                <w:rFonts w:ascii="Times New Roman" w:hAnsi="Times New Roman" w:eastAsia="宋体"/>
                <w:color w:val="auto"/>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4</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Fonts w:ascii="Times New Roman" w:hAnsi="Times New Roman" w:eastAsia="宋体"/>
                <w:sz w:val="28"/>
                <w:szCs w:val="28"/>
              </w:rPr>
            </w:pPr>
            <w:r>
              <w:rPr>
                <w:rStyle w:val="21"/>
                <w:rFonts w:ascii="Times New Roman" w:hAnsi="Times New Roman" w:eastAsia="宋体"/>
                <w:sz w:val="28"/>
                <w:szCs w:val="28"/>
              </w:rPr>
              <w:t>乡镇消防队建设率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hint="eastAsia" w:ascii="Times New Roman" w:hAnsi="Times New Roman" w:eastAsia="宋体"/>
                <w:sz w:val="28"/>
                <w:szCs w:val="28"/>
                <w:lang w:val="en-US" w:eastAsia="zh-CN"/>
              </w:rPr>
              <w:t>53</w:t>
            </w:r>
            <w:r>
              <w:rPr>
                <w:rStyle w:val="21"/>
                <w:rFonts w:ascii="Times New Roman" w:hAnsi="Times New Roman" w:eastAsia="宋体"/>
                <w:sz w:val="28"/>
                <w:szCs w:val="28"/>
              </w:rPr>
              <w:t>%</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提高30%</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宋体"/>
                <w:sz w:val="28"/>
                <w:szCs w:val="28"/>
              </w:rPr>
            </w:pPr>
            <w:r>
              <w:rPr>
                <w:rStyle w:val="21"/>
                <w:rFonts w:ascii="Times New Roman" w:hAnsi="Times New Roman" w:eastAsia="宋体"/>
                <w:sz w:val="28"/>
                <w:szCs w:val="28"/>
              </w:rPr>
              <w:t>约束性</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jc w:val="center"/>
        </w:trPr>
        <w:tc>
          <w:tcPr>
            <w:tcW w:w="8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5</w:t>
            </w:r>
          </w:p>
        </w:tc>
        <w:tc>
          <w:tcPr>
            <w:tcW w:w="360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both"/>
              <w:rPr>
                <w:rStyle w:val="21"/>
                <w:rFonts w:ascii="Times New Roman" w:hAnsi="Times New Roman" w:eastAsia="宋体"/>
                <w:sz w:val="28"/>
                <w:szCs w:val="28"/>
              </w:rPr>
            </w:pPr>
            <w:r>
              <w:rPr>
                <w:rStyle w:val="21"/>
                <w:rFonts w:ascii="Times New Roman" w:hAnsi="Times New Roman" w:eastAsia="宋体"/>
                <w:sz w:val="28"/>
                <w:szCs w:val="28"/>
              </w:rPr>
              <w:t>全民消防安全知晓率</w:t>
            </w:r>
          </w:p>
        </w:tc>
        <w:tc>
          <w:tcPr>
            <w:tcW w:w="2268"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70</w:t>
            </w:r>
          </w:p>
        </w:tc>
        <w:tc>
          <w:tcPr>
            <w:tcW w:w="141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提高5%</w:t>
            </w:r>
          </w:p>
        </w:tc>
        <w:tc>
          <w:tcPr>
            <w:tcW w:w="1074"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pageBreakBefore w:val="0"/>
              <w:kinsoku/>
              <w:wordWrap/>
              <w:overflowPunct/>
              <w:topLinePunct w:val="0"/>
              <w:autoSpaceDE/>
              <w:autoSpaceDN/>
              <w:bidi w:val="0"/>
              <w:spacing w:after="0" w:line="600" w:lineRule="exact"/>
              <w:jc w:val="center"/>
              <w:rPr>
                <w:rStyle w:val="21"/>
                <w:rFonts w:ascii="Times New Roman" w:hAnsi="Times New Roman" w:eastAsia="宋体"/>
                <w:sz w:val="28"/>
                <w:szCs w:val="28"/>
              </w:rPr>
            </w:pPr>
            <w:r>
              <w:rPr>
                <w:rStyle w:val="21"/>
                <w:rFonts w:ascii="Times New Roman" w:hAnsi="Times New Roman" w:eastAsia="宋体"/>
                <w:sz w:val="28"/>
                <w:szCs w:val="28"/>
              </w:rPr>
              <w:t>约束性</w:t>
            </w:r>
          </w:p>
        </w:tc>
      </w:tr>
    </w:tbl>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——消防安全形势保持平稳。杜绝较大以上火灾事故发生，火灾四项指标逐年保持平稳</w:t>
      </w:r>
      <w:r>
        <w:rPr>
          <w:rFonts w:hint="eastAsia" w:ascii="方正仿宋_GBK" w:hAnsi="方正仿宋_GBK" w:eastAsia="方正仿宋_GBK" w:cs="方正仿宋_GBK"/>
          <w:color w:val="auto"/>
          <w:spacing w:val="-20"/>
          <w:sz w:val="32"/>
          <w:szCs w:val="32"/>
          <w:lang w:val="en-US" w:eastAsia="zh-CN"/>
        </w:rPr>
        <w:t>。</w:t>
      </w:r>
      <w:r>
        <w:rPr>
          <w:rFonts w:hint="eastAsia" w:ascii="方正仿宋_GBK" w:hAnsi="方正仿宋_GBK" w:eastAsia="方正仿宋_GBK" w:cs="方正仿宋_GBK"/>
          <w:spacing w:val="-20"/>
          <w:sz w:val="32"/>
          <w:szCs w:val="32"/>
          <w:lang w:val="en-US" w:eastAsia="zh-CN"/>
        </w:rPr>
        <w:t>持续推进消防安全专项行动和综合治理，火灾隐患顽症及时消除，社会消防安全环境进一步改善。</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——消防安全责任有效落实。消防安全责任制落实到位，政府加强对消防工作统筹领导，行业主管部门和行政执法监管部门依法开展消防工作，单位消防安全管理规范有序。</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——消防安全法治更趋完善。结合城市发展特点，完善、升级更严格、更系统、更具操作性的地方消防法规、规章和标准规范体系，提升城市依法治火水平。</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宣传培训深入拓展。人民群众遵守消防法律法规的自觉性普遍提高，发现消除火灾隐患、扑救初期火灾和逃生自救互救能力明显增强，人为因素引起的火灾事故明显减少，公众消防安全常识知晓率达到85%以上。</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——社会消防治理创新发展。社会力量积极参与消防管理，市场机制调节作用充分发挥，现代科技、信息化技术与消防工作深度融合，创新社会消防治理走在全区前列。</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综合保障能力逐步优化。消防经费保障机制与城市建设发展相匹配。新建一批消防站，到“十四五”期末全市消防站达到18个。消防车辆装备体系优化调整。招录政府专职消防员80人，企事业单位专职和志愿消防力量同步发展壮大。</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灭火救援水平全面提升。指挥调度扁平顺畅，灭火救援装备结构合理，完善消防战勤保障体系，多元消防力量覆盖城乡，队伍执勤训练改革纵深推进，灭火作战和应急救援任务出色完成。各部门和各单位消防应急救援职责强化落实，建立应急救援联动机制。</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——消防工作考核不断严密。消防工作考核评价的项目、指标和方法科学设定，制定目标任务，定期督查，年底考评机制不断完善，考核成果充分运用，奖优罚劣，确保消防工作责任落实。</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黑体_GBK" w:hAnsi="方正黑体_GBK" w:eastAsia="方正黑体_GBK" w:cs="方正黑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hint="eastAsia" w:ascii="方正黑体_GBK" w:hAnsi="方正黑体_GBK" w:eastAsia="方正黑体_GBK" w:cs="方正黑体_GBK"/>
          <w:b w:val="0"/>
          <w:bCs w:val="0"/>
          <w:spacing w:val="-20"/>
          <w:sz w:val="32"/>
          <w:szCs w:val="32"/>
          <w:lang w:eastAsia="zh-CN"/>
        </w:rPr>
      </w:pPr>
      <w:bookmarkStart w:id="18" w:name="_Toc28232"/>
      <w:r>
        <w:rPr>
          <w:rFonts w:hint="eastAsia" w:ascii="方正黑体_GBK" w:hAnsi="方正黑体_GBK" w:eastAsia="方正黑体_GBK" w:cs="方正黑体_GBK"/>
          <w:b w:val="0"/>
          <w:bCs w:val="0"/>
          <w:spacing w:val="-20"/>
          <w:sz w:val="32"/>
          <w:szCs w:val="32"/>
        </w:rPr>
        <w:t>第三章  主要任务和重大</w:t>
      </w:r>
      <w:r>
        <w:rPr>
          <w:rFonts w:hint="eastAsia" w:ascii="方正黑体_GBK" w:hAnsi="方正黑体_GBK" w:eastAsia="方正黑体_GBK" w:cs="方正黑体_GBK"/>
          <w:b w:val="0"/>
          <w:bCs w:val="0"/>
          <w:spacing w:val="-20"/>
          <w:sz w:val="32"/>
          <w:szCs w:val="32"/>
          <w:lang w:eastAsia="zh-CN"/>
        </w:rPr>
        <w:t>项目</w:t>
      </w:r>
      <w:bookmarkEnd w:id="18"/>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val="en-US" w:eastAsia="zh-CN"/>
        </w:rPr>
        <w:t xml:space="preserve"> </w:t>
      </w:r>
      <w:bookmarkStart w:id="19" w:name="_Toc17268"/>
      <w:r>
        <w:rPr>
          <w:rFonts w:hint="eastAsia" w:ascii="方正楷体_GBK" w:hAnsi="方正楷体_GBK" w:eastAsia="方正楷体_GBK" w:cs="方正楷体_GBK"/>
          <w:b/>
          <w:bCs/>
          <w:spacing w:val="-20"/>
          <w:sz w:val="32"/>
          <w:szCs w:val="32"/>
        </w:rPr>
        <w:t>一</w:t>
      </w:r>
      <w:r>
        <w:rPr>
          <w:rFonts w:hint="eastAsia" w:ascii="方正楷体_GBK" w:hAnsi="方正楷体_GBK" w:eastAsia="方正楷体_GBK" w:cs="方正楷体_GBK"/>
          <w:b/>
          <w:bCs/>
          <w:spacing w:val="-20"/>
          <w:sz w:val="32"/>
          <w:szCs w:val="32"/>
          <w:lang w:val="en-US" w:eastAsia="zh-CN"/>
        </w:rPr>
        <w:t xml:space="preserve"> </w:t>
      </w:r>
      <w:r>
        <w:rPr>
          <w:rFonts w:hint="eastAsia" w:ascii="方正楷体_GBK" w:hAnsi="方正楷体_GBK" w:eastAsia="方正楷体_GBK" w:cs="方正楷体_GBK"/>
          <w:b/>
          <w:bCs/>
          <w:spacing w:val="-20"/>
          <w:sz w:val="32"/>
          <w:szCs w:val="32"/>
          <w:lang w:eastAsia="zh-CN"/>
        </w:rPr>
        <w:t>、</w:t>
      </w:r>
      <w:r>
        <w:rPr>
          <w:rFonts w:hint="eastAsia" w:ascii="方正楷体_GBK" w:hAnsi="方正楷体_GBK" w:eastAsia="方正楷体_GBK" w:cs="方正楷体_GBK"/>
          <w:b/>
          <w:bCs/>
          <w:spacing w:val="-20"/>
          <w:sz w:val="32"/>
          <w:szCs w:val="32"/>
        </w:rPr>
        <w:t>全面推动消防安全责任落实</w:t>
      </w:r>
      <w:bookmarkEnd w:id="19"/>
    </w:p>
    <w:p>
      <w:pPr>
        <w:pStyle w:val="2"/>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0" w:name="_Toc29560"/>
      <w:r>
        <w:rPr>
          <w:rFonts w:hint="eastAsia" w:ascii="方正仿宋_GBK" w:hAnsi="方正仿宋_GBK" w:eastAsia="方正仿宋_GBK" w:cs="方正仿宋_GBK"/>
          <w:b/>
          <w:bCs/>
          <w:spacing w:val="-20"/>
          <w:sz w:val="32"/>
          <w:szCs w:val="32"/>
          <w:lang w:val="en-US" w:eastAsia="zh-CN"/>
        </w:rPr>
        <w:t>（一）落实党委政府领导责任</w:t>
      </w:r>
      <w:bookmarkEnd w:id="2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持续将消防工作纳入政府综合绩效考核内容，将公共消防设施和装备建设、消防经费、社会消防力量发展、重大火灾隐患整改等纳入政府任期工作目标，完善考评和问责机制，严格责任追究，有效落实奖惩，实行消防安全一票否决。推动消防救援事业与当地经济社会发展同步规划、协调发展，缩小经济建设和消防基础建设的差距。依托安全生产委员会、防火安全委员会平台，完善联席会商、联合执法、情况通报、函告以及火灾延伸调查等制度，每季度研判消防安全形势。</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1" w:name="_Toc22590"/>
      <w:r>
        <w:rPr>
          <w:rFonts w:hint="eastAsia" w:ascii="方正仿宋_GBK" w:hAnsi="方正仿宋_GBK" w:eastAsia="方正仿宋_GBK" w:cs="方正仿宋_GBK"/>
          <w:b/>
          <w:bCs/>
          <w:spacing w:val="-20"/>
          <w:sz w:val="32"/>
          <w:szCs w:val="32"/>
          <w:lang w:val="en-US" w:eastAsia="zh-CN"/>
        </w:rPr>
        <w:t>（二）落实行业部门监管责任</w:t>
      </w:r>
      <w:bookmarkEnd w:id="21"/>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按照“管行业必须管安全、管业务必须管安全、管生产经营必须管安全”的要求，各</w:t>
      </w:r>
      <w:r>
        <w:rPr>
          <w:rFonts w:hint="eastAsia" w:ascii="方正仿宋_GBK" w:hAnsi="方正仿宋_GBK" w:eastAsia="方正仿宋_GBK" w:cs="方正仿宋_GBK"/>
          <w:spacing w:val="-20"/>
          <w:sz w:val="32"/>
          <w:szCs w:val="32"/>
          <w:lang w:val="en-US" w:eastAsia="zh-CN"/>
        </w:rPr>
        <w:t>主管部门和行业系统依法出台本行业、系统的消防安全标准，实施标准化管理，以标准化促进消防管理规范化。2021-2025年各行业部门本系统20%、40%、60%、80%、100%单位完成消防管理规范化达标创建。教育、民政、住建、文旅、卫健等部门切实加强所属单位及本行业领域的消防安全管理，把消防安全纳入行业发展规划，组织开展隐患排查治理、消防安全培训、先进消防安全技术推广、消防安全队伍建设等工作，落实行业系统火灾隐患及火灾事故通报制度。住建、人社、商务、市监、应急管理等部门依法依规履行本部门的消防安全管理职责，规范生产、经营、建设秩序。</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2" w:name="_Toc295"/>
      <w:r>
        <w:rPr>
          <w:rFonts w:hint="eastAsia" w:ascii="方正仿宋_GBK" w:hAnsi="方正仿宋_GBK" w:eastAsia="方正仿宋_GBK" w:cs="方正仿宋_GBK"/>
          <w:b/>
          <w:bCs/>
          <w:spacing w:val="-20"/>
          <w:sz w:val="32"/>
          <w:szCs w:val="32"/>
          <w:lang w:val="en-US" w:eastAsia="zh-CN"/>
        </w:rPr>
        <w:t>（三）落实社会单位主体责任</w:t>
      </w:r>
      <w:bookmarkEnd w:id="22"/>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不断提升社会单位自我管理意识，保障消防安全经费投入，严格日常消防安全巡查检查，全面开展单位消防安全标准化建设，落实消防安全标准化管理措施，2021年至2025年全市重点单位标准化管理达标率，分别达到60%、70%、80%、90%。100%。建立、完善社会单位消防安全信用体系，推行重点单位消防安全状况评价结果与银行、证券、保险信用等级评定以及企业市场准入挂钩制度，利用市场手段，督促单位增强消防安全管理水平。鼓励支持公众聚集场所和易燃易爆场所投保火灾公众责任险</w:t>
      </w:r>
      <w:r>
        <w:rPr>
          <w:rFonts w:hint="eastAsia" w:ascii="方正仿宋_GBK" w:hAnsi="方正仿宋_GBK" w:eastAsia="方正仿宋_GBK" w:cs="方正仿宋_GBK"/>
          <w:color w:val="auto"/>
          <w:spacing w:val="-20"/>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jc w:val="center"/>
        <w:rPr>
          <w:rFonts w:hint="eastAsia" w:ascii="方正楷体_GBK" w:hAnsi="方正楷体_GBK" w:eastAsia="方正楷体_GBK" w:cs="方正楷体_GBK"/>
          <w:b/>
          <w:bCs/>
          <w:spacing w:val="-20"/>
          <w:sz w:val="32"/>
          <w:szCs w:val="32"/>
        </w:rPr>
      </w:pPr>
    </w:p>
    <w:p>
      <w:pPr>
        <w:keepNext w:val="0"/>
        <w:keepLines w:val="0"/>
        <w:pageBreakBefore w:val="0"/>
        <w:numPr>
          <w:ilvl w:val="0"/>
          <w:numId w:val="1"/>
        </w:numPr>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23" w:name="_Toc8109"/>
      <w:r>
        <w:rPr>
          <w:rFonts w:hint="eastAsia" w:ascii="方正楷体_GBK" w:hAnsi="方正楷体_GBK" w:eastAsia="方正楷体_GBK" w:cs="方正楷体_GBK"/>
          <w:b/>
          <w:bCs/>
          <w:spacing w:val="-20"/>
          <w:sz w:val="32"/>
          <w:szCs w:val="32"/>
        </w:rPr>
        <w:t>全面推进公共消防设施建设</w:t>
      </w:r>
      <w:bookmarkEnd w:id="23"/>
    </w:p>
    <w:p>
      <w:pPr>
        <w:pStyle w:val="2"/>
        <w:numPr>
          <w:ilvl w:val="0"/>
          <w:numId w:val="0"/>
        </w:numPr>
        <w:rPr>
          <w:rFonts w:hint="eastAsia"/>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4" w:name="_Toc23437"/>
      <w:r>
        <w:rPr>
          <w:rFonts w:hint="eastAsia" w:ascii="方正仿宋_GBK" w:hAnsi="方正仿宋_GBK" w:eastAsia="方正仿宋_GBK" w:cs="方正仿宋_GBK"/>
          <w:b/>
          <w:bCs/>
          <w:spacing w:val="-20"/>
          <w:sz w:val="32"/>
          <w:szCs w:val="32"/>
          <w:lang w:val="en-US" w:eastAsia="zh-CN"/>
        </w:rPr>
        <w:t>（一）加强消防经费保障建设</w:t>
      </w:r>
      <w:bookmarkEnd w:id="24"/>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落实中央和自治区有关规定，进一步规范和细化消防救援队伍经费保障管理工作，健全完善经费分类保障机制，按照现行事权、财权划分原则，各级财政将消防救援队伍人员经费、公用经费、项目支出列入同级预算，根据经济社会发展水平，适时调整消防业务经费标准。建立与“十四五”消防事业发展相适应与经济社会发展相协调的经费保障机制，逐步加大消防站点建设、消防装备器材购置、消防训练基地建设、消防水源建设、消防信息化建设、政府专职消防队建设等项目经费投入力度。</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5" w:name="_Toc30724"/>
      <w:r>
        <w:rPr>
          <w:rFonts w:hint="eastAsia" w:ascii="方正仿宋_GBK" w:hAnsi="方正仿宋_GBK" w:eastAsia="方正仿宋_GBK" w:cs="方正仿宋_GBK"/>
          <w:b/>
          <w:bCs/>
          <w:spacing w:val="-20"/>
          <w:sz w:val="32"/>
          <w:szCs w:val="32"/>
          <w:lang w:val="en-US" w:eastAsia="zh-CN"/>
        </w:rPr>
        <w:t>（二）加强公共消防基础建设</w:t>
      </w:r>
      <w:bookmarkEnd w:id="25"/>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default" w:ascii="方正仿宋_GBK" w:hAnsi="方正仿宋_GBK" w:eastAsia="方正仿宋_GBK" w:cs="方正仿宋_GBK"/>
          <w:spacing w:val="-20"/>
          <w:sz w:val="32"/>
          <w:szCs w:val="32"/>
          <w:lang w:val="en-US" w:eastAsia="zh-CN"/>
        </w:rPr>
        <w:t>“十四五”期间，全市应根据城镇发展实际，同步规划建设市政消火栓，落实市政消火栓建设、维护、管理等职责分工，推动各旗县区加大市政消火栓补建、改造力度。2022年底前，</w:t>
      </w:r>
      <w:r>
        <w:rPr>
          <w:rFonts w:hint="eastAsia" w:ascii="方正仿宋_GBK" w:hAnsi="方正仿宋_GBK" w:eastAsia="方正仿宋_GBK" w:cs="方正仿宋_GBK"/>
          <w:spacing w:val="-20"/>
          <w:sz w:val="32"/>
          <w:szCs w:val="32"/>
          <w:lang w:val="en-US" w:eastAsia="zh-CN"/>
        </w:rPr>
        <w:t>市、旗县区和建制苏木乡镇</w:t>
      </w:r>
      <w:r>
        <w:rPr>
          <w:rFonts w:hint="default" w:ascii="方正仿宋_GBK" w:hAnsi="方正仿宋_GBK" w:eastAsia="方正仿宋_GBK" w:cs="方正仿宋_GBK"/>
          <w:spacing w:val="-20"/>
          <w:sz w:val="32"/>
          <w:szCs w:val="32"/>
          <w:lang w:val="en-US" w:eastAsia="zh-CN"/>
        </w:rPr>
        <w:t>应当基本补齐市政消防水源欠账，确保基本达到国家标准要求，实现建成区消防供水全覆盖，满足消防用水需求，各地新建道路消火栓配备率到达100%。到2023年，在较大以上行政村设立消防取水口，满足农村消防用水需要。到2025年，全市市政消火栓建有率达到100%，年完好率达到98%，每个旗县区湖泊河流都设立消防取水口和取水码头。</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6" w:name="_Toc12043"/>
      <w:r>
        <w:rPr>
          <w:rFonts w:hint="eastAsia" w:ascii="方正仿宋_GBK" w:hAnsi="方正仿宋_GBK" w:eastAsia="方正仿宋_GBK" w:cs="方正仿宋_GBK"/>
          <w:b/>
          <w:bCs/>
          <w:spacing w:val="-20"/>
          <w:sz w:val="32"/>
          <w:szCs w:val="32"/>
          <w:lang w:val="en-US" w:eastAsia="zh-CN"/>
        </w:rPr>
        <w:t>（三）加强消防队站建设</w:t>
      </w:r>
      <w:bookmarkEnd w:id="26"/>
    </w:p>
    <w:p>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根据各地城市建设总体规划和发展需求，同步规划和建设消防站，逐步提高队站建设密度，2025年底前，新增6个消防救援站投入执勤，临河区2个（原牧街消防站、乌拉特大街消防站）、乌拉特前旗2个（乌拉特前旗工业园区消防站、白彦花街消防站）、杭锦后旗1个（杭锦后旗龙宝东街消防救援站）、五原1个（五原团结路消防救援站）。进一步完善消防训练基地各项训练设施，到2022年底前，完成烟热训练设施、燃烧训练设施；到2025年底前，完成火幕墙训练设施、电气火灾事故处置训练设施、危险化学品泄漏事故处置训练设施、道路交通事故处置训练设施、高空救助训练设施、受限空间救助训练设施；建设水上综合救援训练基地。</w:t>
      </w:r>
    </w:p>
    <w:p>
      <w:pPr>
        <w:pStyle w:val="2"/>
        <w:rPr>
          <w:rFonts w:hint="eastAsia"/>
          <w:lang w:val="en-US" w:eastAsia="zh-CN"/>
        </w:rPr>
      </w:pPr>
    </w:p>
    <w:tbl>
      <w:tblPr>
        <w:tblStyle w:val="12"/>
        <w:tblW w:w="0" w:type="auto"/>
        <w:jc w:val="center"/>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jc w:val="center"/>
        </w:trPr>
        <w:tc>
          <w:tcPr>
            <w:tcW w:w="9060" w:type="dxa"/>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hint="eastAsia" w:eastAsia="方正仿宋_GBK"/>
                <w:b/>
                <w:color w:val="000000"/>
                <w:sz w:val="32"/>
                <w:szCs w:val="32"/>
                <w:lang w:val="en-US" w:eastAsia="zh-CN"/>
              </w:rPr>
              <w:t>2</w:t>
            </w:r>
            <w:r>
              <w:rPr>
                <w:rFonts w:hint="eastAsia" w:ascii="Times New Roman" w:hAnsi="Times New Roman" w:eastAsia="方正仿宋_GBK"/>
                <w:b/>
                <w:color w:val="000000"/>
                <w:sz w:val="32"/>
                <w:szCs w:val="32"/>
              </w:rPr>
              <w:t>消防站建设重点</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jc w:val="center"/>
        </w:trPr>
        <w:tc>
          <w:tcPr>
            <w:tcW w:w="9060" w:type="dxa"/>
          </w:tcPr>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新建消防站</w:t>
            </w:r>
            <w:r>
              <w:rPr>
                <w:rFonts w:hint="eastAsia" w:eastAsia="方正仿宋_GBK"/>
                <w:color w:val="000000"/>
                <w:sz w:val="32"/>
                <w:szCs w:val="32"/>
                <w:lang w:val="en-US" w:eastAsia="zh-CN"/>
              </w:rPr>
              <w:t>7</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一级普通</w:t>
            </w:r>
            <w:r>
              <w:rPr>
                <w:rFonts w:hint="eastAsia" w:ascii="Times New Roman" w:hAnsi="Times New Roman" w:eastAsia="方正仿宋_GBK"/>
                <w:color w:val="000000"/>
                <w:sz w:val="32"/>
                <w:szCs w:val="32"/>
              </w:rPr>
              <w:t>消防站</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个、二级普通消防站</w:t>
            </w:r>
            <w:r>
              <w:rPr>
                <w:rFonts w:hint="eastAsia" w:eastAsia="方正仿宋_GBK"/>
                <w:color w:val="000000"/>
                <w:sz w:val="32"/>
                <w:szCs w:val="32"/>
                <w:lang w:val="en-US" w:eastAsia="zh-CN"/>
              </w:rPr>
              <w:t>2</w:t>
            </w:r>
            <w:r>
              <w:rPr>
                <w:rFonts w:hint="eastAsia" w:ascii="Times New Roman" w:hAnsi="Times New Roman" w:eastAsia="方正仿宋_GBK"/>
                <w:color w:val="000000"/>
                <w:sz w:val="32"/>
                <w:szCs w:val="32"/>
              </w:rPr>
              <w:t>个、小型消防站</w:t>
            </w:r>
            <w:r>
              <w:rPr>
                <w:rFonts w:hint="eastAsia" w:eastAsia="方正仿宋_GBK"/>
                <w:color w:val="000000"/>
                <w:sz w:val="32"/>
                <w:szCs w:val="32"/>
                <w:lang w:val="en-US" w:eastAsia="zh-CN"/>
              </w:rPr>
              <w:t>3</w:t>
            </w:r>
            <w:r>
              <w:rPr>
                <w:rFonts w:hint="eastAsia" w:ascii="Times New Roman" w:hAnsi="Times New Roman" w:eastAsia="方正仿宋_GBK"/>
                <w:color w:val="000000"/>
                <w:sz w:val="32"/>
                <w:szCs w:val="32"/>
              </w:rPr>
              <w:t>个、</w:t>
            </w:r>
            <w:r>
              <w:rPr>
                <w:rFonts w:hint="eastAsia" w:ascii="Times New Roman" w:hAnsi="Times New Roman" w:eastAsia="方正仿宋_GBK"/>
                <w:color w:val="000000"/>
                <w:sz w:val="32"/>
                <w:szCs w:val="32"/>
                <w:lang w:eastAsia="zh-CN"/>
              </w:rPr>
              <w:t>水上训练</w:t>
            </w:r>
            <w:r>
              <w:rPr>
                <w:rFonts w:hint="eastAsia" w:ascii="Times New Roman" w:hAnsi="Times New Roman" w:eastAsia="方正仿宋_GBK"/>
                <w:color w:val="000000"/>
                <w:sz w:val="32"/>
                <w:szCs w:val="32"/>
              </w:rPr>
              <w:t>基地</w:t>
            </w:r>
            <w:r>
              <w:rPr>
                <w:rFonts w:hint="eastAsia" w:ascii="Times New Roman" w:hAnsi="Times New Roman" w:eastAsia="方正仿宋_GBK"/>
                <w:color w:val="000000"/>
                <w:sz w:val="32"/>
                <w:szCs w:val="32"/>
                <w:lang w:val="en-US" w:eastAsia="zh-CN"/>
              </w:rPr>
              <w:t>1</w:t>
            </w:r>
            <w:r>
              <w:rPr>
                <w:rFonts w:hint="eastAsia" w:ascii="Times New Roman" w:hAnsi="Times New Roman" w:eastAsia="方正仿宋_GBK"/>
                <w:color w:val="000000"/>
                <w:sz w:val="32"/>
                <w:szCs w:val="32"/>
              </w:rPr>
              <w:t>个）；</w:t>
            </w:r>
          </w:p>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auto"/>
                <w:sz w:val="32"/>
                <w:szCs w:val="32"/>
              </w:rPr>
              <w:t>抗洪抢险专业救援队</w:t>
            </w:r>
            <w:r>
              <w:rPr>
                <w:rFonts w:hint="eastAsia" w:eastAsia="方正仿宋_GBK"/>
                <w:color w:val="auto"/>
                <w:sz w:val="32"/>
                <w:szCs w:val="32"/>
                <w:lang w:val="en-US" w:eastAsia="zh-CN"/>
              </w:rPr>
              <w:t>8</w:t>
            </w:r>
            <w:r>
              <w:rPr>
                <w:rFonts w:hint="eastAsia" w:ascii="Times New Roman" w:hAnsi="Times New Roman" w:eastAsia="方正仿宋_GBK"/>
                <w:color w:val="auto"/>
                <w:sz w:val="32"/>
                <w:szCs w:val="32"/>
              </w:rPr>
              <w:t>支、高空专业救援队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支、地震专业救援队</w:t>
            </w: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支、大跨度大空间场所专业救援队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支、石油化工专业队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支、</w:t>
            </w:r>
            <w:r>
              <w:rPr>
                <w:rFonts w:hint="eastAsia" w:eastAsia="方正仿宋_GBK"/>
                <w:color w:val="auto"/>
                <w:sz w:val="32"/>
                <w:szCs w:val="32"/>
                <w:lang w:eastAsia="zh-CN"/>
              </w:rPr>
              <w:t>水域专业救援队</w:t>
            </w:r>
            <w:r>
              <w:rPr>
                <w:rFonts w:hint="eastAsia" w:eastAsia="方正仿宋_GBK"/>
                <w:color w:val="auto"/>
                <w:sz w:val="32"/>
                <w:szCs w:val="32"/>
                <w:lang w:val="en-US" w:eastAsia="zh-CN"/>
              </w:rPr>
              <w:t>1支</w:t>
            </w:r>
            <w:r>
              <w:rPr>
                <w:rFonts w:hint="eastAsia" w:ascii="Times New Roman" w:hAnsi="Times New Roman" w:eastAsia="方正仿宋_GBK"/>
                <w:color w:val="auto"/>
                <w:sz w:val="32"/>
                <w:szCs w:val="32"/>
              </w:rPr>
              <w:t>。</w:t>
            </w:r>
          </w:p>
        </w:tc>
      </w:tr>
    </w:tbl>
    <w:p>
      <w:pPr>
        <w:keepNext w:val="0"/>
        <w:keepLines w:val="0"/>
        <w:pageBreakBefore w:val="0"/>
        <w:numPr>
          <w:ilvl w:val="0"/>
          <w:numId w:val="0"/>
        </w:numPr>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7" w:name="_Toc11944"/>
      <w:r>
        <w:rPr>
          <w:rFonts w:hint="eastAsia" w:ascii="方正仿宋_GBK" w:hAnsi="方正仿宋_GBK" w:eastAsia="方正仿宋_GBK" w:cs="方正仿宋_GBK"/>
          <w:b/>
          <w:bCs/>
          <w:spacing w:val="-20"/>
          <w:sz w:val="32"/>
          <w:szCs w:val="32"/>
          <w:lang w:val="en-US" w:eastAsia="zh-CN"/>
        </w:rPr>
        <w:t>（四）加强消防装备建设</w:t>
      </w:r>
      <w:bookmarkEnd w:id="27"/>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spacing w:val="-20"/>
          <w:sz w:val="32"/>
          <w:szCs w:val="32"/>
          <w:lang w:val="en-US" w:eastAsia="zh-CN"/>
        </w:rPr>
        <w:t>按照“立足实战、弥补短板、注重质量、提升效能”的原则，加强应对高层建筑、地下工程、石油化工、城市大型综合体、洪涝、地震、雨雪冰冻等特殊灾害的特种消防车辆和装备配备。2021年底前，全面提升消防员个人防护装备水平，按照《城市消防站建设标准》，特勤消防站按不少于45人的标准配备，普通消防站按本单位人员编制数的标准配备。购置一台56米大跨距举高喷射消防车。2023年底前，全市各消防站配齐水罐消防车、泡沫消防车、抢险救援消防车、登高平台消防车、云梯消防车、举高喷射消防车等6种消防车车型，主城区消防站城市主战消防车配比率达到100%，全市配置3台多功能灭火机器人。建立全市装备专家库，完成全市装备评估论证。2025年底前，按照区域作战划分，完成高层建筑、地下工程、大型综合体、石油化工火灾扑救专业队装备配备任务。</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28" w:name="_Toc9191"/>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r>
        <w:rPr>
          <w:rFonts w:hint="eastAsia" w:ascii="方正楷体_GBK" w:hAnsi="方正楷体_GBK" w:eastAsia="方正楷体_GBK" w:cs="方正楷体_GBK"/>
          <w:b/>
          <w:bCs/>
          <w:spacing w:val="-20"/>
          <w:sz w:val="32"/>
          <w:szCs w:val="32"/>
          <w:lang w:eastAsia="zh-CN"/>
        </w:rPr>
        <w:t>三</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全面提升火灾防控治理能力</w:t>
      </w:r>
      <w:bookmarkEnd w:id="28"/>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29" w:name="_Toc339"/>
      <w:r>
        <w:rPr>
          <w:rFonts w:hint="eastAsia" w:ascii="方正仿宋_GBK" w:hAnsi="方正仿宋_GBK" w:eastAsia="方正仿宋_GBK" w:cs="方正仿宋_GBK"/>
          <w:b/>
          <w:bCs/>
          <w:spacing w:val="-20"/>
          <w:sz w:val="32"/>
          <w:szCs w:val="32"/>
          <w:lang w:val="en-US" w:eastAsia="zh-CN"/>
        </w:rPr>
        <w:t>（一）强化消防综合治理</w:t>
      </w:r>
      <w:bookmarkEnd w:id="29"/>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各级政府将老旧居民楼消防设施改造、消防车通道整治、火灾隐患集中区域治理等重大消防安全问题纳入政府民生工程，由各地政府统筹安排、逐年推进解决。2022年底前基本解决占用、堵塞消防车通道问题。根据本地区火灾发生特点，综合运用常态监督、网格排查、专项治理等手段，对煤化工、易燃易爆、大型城市综合体、高层和地下公共建筑、学校、医院、社会福利机构、文博、老旧场所、易地扶贫搬迁安置点等火灾高风险领域开展专项整治；持续开展电动车、电气、生命通道、消防产品、储能电站、新材料新业态等突出隐患治理。健全完善重大火灾隐患、区域性火灾隐患分级挂牌督办、跟踪治理机制，每年挂牌整改一批重大火灾隐患。加强对生产、销售、使用领域消防产品的监督管理，严厉查处制售假冒伪劣消防产品行为。教育、民政、文旅、卫健、文物、商务等重点行业部门，组织对学校及幼儿园、养老服务机构、文化娱乐场所、宾馆饭店、商场市场、旅游景区、医疗卫生机构、宗教活动场所、文物建筑和博物馆等行业单位定期集中开展消防安全排查整治，及时消除火灾隐患。</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0" w:name="_Toc9539"/>
      <w:r>
        <w:rPr>
          <w:rFonts w:hint="eastAsia" w:ascii="方正仿宋_GBK" w:hAnsi="方正仿宋_GBK" w:eastAsia="方正仿宋_GBK" w:cs="方正仿宋_GBK"/>
          <w:b/>
          <w:bCs/>
          <w:spacing w:val="-20"/>
          <w:sz w:val="32"/>
          <w:szCs w:val="32"/>
          <w:lang w:val="en-US" w:eastAsia="zh-CN"/>
        </w:rPr>
        <w:t>（二）创新消防安全管理</w:t>
      </w:r>
      <w:bookmarkEnd w:id="3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推进消防安全诚信体系建设，开展消防安全重点单位及社会消防技术服务机构诚信等级评定，奖惩并进，按照相关法律合理将诚信状况与项目审批、贷款、保险等挂钩。加强对消防技术服务活动的监督管理，重点打击弄虚作假等违法经营行为，推动建立公平竞争的消防技术服务市场秩序。发展壮大注册消防工程师队伍，规范注册消防工程师执业行为。鼓励支持社会单位、消防机构采用先进科学技术，不断提高火灾防控水平。建立消防设施操作员持证管理体系，推进全市消防控制室人员持证上岗。依托河套学院、职业学校开展消防培训，为市场提供充足消防专业人才。根据试点地区工作经验，完善本市消防救援站开展防火工作机制。</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1" w:name="_Toc27078"/>
      <w:r>
        <w:rPr>
          <w:rFonts w:hint="eastAsia" w:ascii="方正仿宋_GBK" w:hAnsi="方正仿宋_GBK" w:eastAsia="方正仿宋_GBK" w:cs="方正仿宋_GBK"/>
          <w:b/>
          <w:bCs/>
          <w:spacing w:val="-20"/>
          <w:sz w:val="32"/>
          <w:szCs w:val="32"/>
          <w:lang w:val="en-US" w:eastAsia="zh-CN"/>
        </w:rPr>
        <w:t>（三）推动社会群防群治</w:t>
      </w:r>
      <w:bookmarkEnd w:id="31"/>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健全乡镇苏木、街道、社区、村（居）委会等基层组织消防机构，明确消防安全责任人和专（兼）职消防管理员。建立完善消防志愿者招募制度，及消防工作奖惩制度。发挥公安派出所基层工</w:t>
      </w:r>
      <w:r>
        <w:rPr>
          <w:rFonts w:hint="eastAsia" w:ascii="方正仿宋_GBK" w:hAnsi="方正仿宋_GBK" w:eastAsia="方正仿宋_GBK" w:cs="方正仿宋_GBK"/>
          <w:spacing w:val="-20"/>
          <w:sz w:val="32"/>
          <w:szCs w:val="32"/>
          <w:lang w:val="en-US" w:eastAsia="zh-CN"/>
        </w:rPr>
        <w:t>作优势，开展消防监督检查、宣传教育。加强分行业、分区域的社会消防联防联控，建立社会单位消防工作区域联防组织，定期研究部署、交流探讨、互检互查。建立完善家庭火灾隐患治理体系，街道、社区工作人员和消防志愿者入户上门解决居民消防难题，减少居民住宅火灾发生。壮大</w:t>
      </w:r>
      <w:r>
        <w:rPr>
          <w:rFonts w:hint="default" w:ascii="方正仿宋_GBK" w:hAnsi="方正仿宋_GBK" w:eastAsia="方正仿宋_GBK" w:cs="方正仿宋_GBK"/>
          <w:spacing w:val="-20"/>
          <w:sz w:val="32"/>
          <w:szCs w:val="32"/>
          <w:lang w:val="en-US" w:eastAsia="zh-CN"/>
        </w:rPr>
        <w:t>消防志愿者队伍，拓宽志愿者参与社会治理的渠道，提高群众的消防安全意识。</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2" w:name="_Toc7286"/>
      <w:r>
        <w:rPr>
          <w:rFonts w:hint="eastAsia" w:ascii="方正仿宋_GBK" w:hAnsi="方正仿宋_GBK" w:eastAsia="方正仿宋_GBK" w:cs="方正仿宋_GBK"/>
          <w:b/>
          <w:bCs/>
          <w:spacing w:val="-20"/>
          <w:sz w:val="32"/>
          <w:szCs w:val="32"/>
          <w:lang w:val="en-US" w:eastAsia="zh-CN"/>
        </w:rPr>
        <w:t>（四）深化消防执法改革</w:t>
      </w:r>
      <w:bookmarkEnd w:id="32"/>
    </w:p>
    <w:p>
      <w:pPr>
        <w:keepNext w:val="0"/>
        <w:keepLines w:val="0"/>
        <w:pageBreakBefore w:val="0"/>
        <w:kinsoku/>
        <w:wordWrap/>
        <w:overflowPunct/>
        <w:topLinePunct w:val="0"/>
        <w:autoSpaceDE/>
        <w:autoSpaceDN/>
        <w:bidi w:val="0"/>
        <w:spacing w:line="600" w:lineRule="exact"/>
        <w:ind w:firstLine="560" w:firstLineChars="200"/>
        <w:rPr>
          <w:rFonts w:hint="default"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rPr>
        <w:t>结合当地消防安全形势，不断优化“双随机、一公开”监管模式，逐步实现安全自查、隐患自除、责任自负。加强检查结果运用效能，对检查发现的违法违规行为，依法依规严肃查处并纳入信用记录</w:t>
      </w:r>
      <w:r>
        <w:rPr>
          <w:rFonts w:hint="eastAsia" w:ascii="方正仿宋_GBK" w:hAnsi="方正仿宋_GBK" w:eastAsia="方正仿宋_GBK" w:cs="方正仿宋_GBK"/>
          <w:spacing w:val="-20"/>
          <w:sz w:val="32"/>
          <w:szCs w:val="32"/>
          <w:lang w:eastAsia="zh-CN"/>
        </w:rPr>
        <w:t>。全面实行</w:t>
      </w:r>
      <w:r>
        <w:rPr>
          <w:rFonts w:hint="eastAsia" w:ascii="方正仿宋_GBK" w:hAnsi="方正仿宋_GBK" w:eastAsia="方正仿宋_GBK" w:cs="方正仿宋_GBK"/>
          <w:spacing w:val="-20"/>
          <w:sz w:val="32"/>
          <w:szCs w:val="32"/>
        </w:rPr>
        <w:t>开业前检查“承诺制”办理方式，用好“消防检查预约</w:t>
      </w:r>
      <w:r>
        <w:rPr>
          <w:rFonts w:hint="eastAsia" w:ascii="方正仿宋_GBK" w:hAnsi="方正仿宋_GBK" w:eastAsia="方正仿宋_GBK" w:cs="方正仿宋_GBK"/>
          <w:spacing w:val="-20"/>
          <w:sz w:val="32"/>
          <w:szCs w:val="32"/>
          <w:lang w:eastAsia="zh-CN"/>
        </w:rPr>
        <w:t>平台</w:t>
      </w:r>
      <w:r>
        <w:rPr>
          <w:rFonts w:hint="eastAsia" w:ascii="方正仿宋_GBK" w:hAnsi="方正仿宋_GBK" w:eastAsia="方正仿宋_GBK" w:cs="方正仿宋_GBK"/>
          <w:spacing w:val="-20"/>
          <w:sz w:val="32"/>
          <w:szCs w:val="32"/>
        </w:rPr>
        <w:t>”</w:t>
      </w:r>
      <w:r>
        <w:rPr>
          <w:rFonts w:hint="eastAsia" w:ascii="方正仿宋_GBK" w:hAnsi="方正仿宋_GBK" w:eastAsia="方正仿宋_GBK" w:cs="方正仿宋_GBK"/>
          <w:spacing w:val="-20"/>
          <w:sz w:val="32"/>
          <w:szCs w:val="32"/>
          <w:lang w:eastAsia="zh-CN"/>
        </w:rPr>
        <w:t>、“轻微火灾登记”等便民措施，</w:t>
      </w:r>
      <w:r>
        <w:rPr>
          <w:rFonts w:hint="eastAsia" w:ascii="方正仿宋_GBK" w:hAnsi="方正仿宋_GBK" w:eastAsia="方正仿宋_GBK" w:cs="方正仿宋_GBK"/>
          <w:spacing w:val="-20"/>
          <w:sz w:val="32"/>
          <w:szCs w:val="32"/>
        </w:rPr>
        <w:t>实行容缺后补、绿色通道、邮政或快递送达等便利化措施</w:t>
      </w:r>
      <w:r>
        <w:rPr>
          <w:rFonts w:hint="eastAsia" w:ascii="方正仿宋_GBK" w:hAnsi="方正仿宋_GBK" w:eastAsia="方正仿宋_GBK" w:cs="方正仿宋_GBK"/>
          <w:spacing w:val="-2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3" w:name="_Toc4140"/>
      <w:r>
        <w:rPr>
          <w:rFonts w:hint="eastAsia" w:ascii="方正楷体_GBK" w:hAnsi="方正楷体_GBK" w:eastAsia="方正楷体_GBK" w:cs="方正楷体_GBK"/>
          <w:b/>
          <w:bCs/>
          <w:spacing w:val="-20"/>
          <w:sz w:val="32"/>
          <w:szCs w:val="32"/>
          <w:lang w:eastAsia="zh-CN"/>
        </w:rPr>
        <w:t>四</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加强农村牧区消防工作</w:t>
      </w:r>
      <w:bookmarkEnd w:id="33"/>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4" w:name="_Toc11367"/>
      <w:r>
        <w:rPr>
          <w:rFonts w:hint="eastAsia" w:ascii="方正仿宋_GBK" w:hAnsi="方正仿宋_GBK" w:eastAsia="方正仿宋_GBK" w:cs="方正仿宋_GBK"/>
          <w:b/>
          <w:bCs/>
          <w:spacing w:val="-20"/>
          <w:sz w:val="32"/>
          <w:szCs w:val="32"/>
          <w:lang w:val="en-US" w:eastAsia="zh-CN"/>
        </w:rPr>
        <w:t>（一）构建农村牧区消防治理保障体系</w:t>
      </w:r>
      <w:bookmarkEnd w:id="34"/>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default" w:ascii="方正仿宋_GBK" w:hAnsi="方正仿宋_GBK" w:eastAsia="方正仿宋_GBK" w:cs="方正仿宋_GBK"/>
          <w:b w:val="0"/>
          <w:bCs w:val="0"/>
          <w:spacing w:val="-20"/>
          <w:sz w:val="32"/>
          <w:szCs w:val="32"/>
          <w:lang w:val="en-US" w:eastAsia="zh-CN"/>
        </w:rPr>
        <w:t>制定出台《巴彦淖尔市农村消防工作实施意见》，</w:t>
      </w:r>
      <w:r>
        <w:rPr>
          <w:rFonts w:hint="eastAsia" w:ascii="方正仿宋_GBK" w:hAnsi="方正仿宋_GBK" w:eastAsia="方正仿宋_GBK" w:cs="方正仿宋_GBK"/>
          <w:b w:val="0"/>
          <w:bCs w:val="0"/>
          <w:spacing w:val="-20"/>
          <w:sz w:val="32"/>
          <w:szCs w:val="32"/>
          <w:lang w:val="en-US" w:eastAsia="zh-CN"/>
        </w:rPr>
        <w:t>深化“河套119”防控体系建设，建立农村牧区消防工作领导体制和运行机制，健全农村牧区消防组织和队伍建设，结合自治区乡村振兴战略和巴彦淖尔市绿色崛起要求</w:t>
      </w:r>
      <w:r>
        <w:rPr>
          <w:rFonts w:hint="eastAsia" w:ascii="方正仿宋_GBK" w:hAnsi="方正仿宋_GBK" w:eastAsia="方正仿宋_GBK" w:cs="方正仿宋_GBK"/>
          <w:b w:val="0"/>
          <w:bCs w:val="0"/>
          <w:color w:val="auto"/>
          <w:spacing w:val="-20"/>
          <w:sz w:val="32"/>
          <w:szCs w:val="32"/>
          <w:lang w:val="en-US" w:eastAsia="zh-CN"/>
        </w:rPr>
        <w:t>，研究制定农村地区消防工作地方性规章。将农村牧区消防安全建设同步纳入农村牧区基本公共服务重点工程一体化部署落实。2024年</w:t>
      </w:r>
      <w:r>
        <w:rPr>
          <w:rFonts w:hint="eastAsia" w:ascii="方正仿宋_GBK" w:hAnsi="方正仿宋_GBK" w:eastAsia="方正仿宋_GBK" w:cs="方正仿宋_GBK"/>
          <w:b w:val="0"/>
          <w:bCs w:val="0"/>
          <w:color w:val="auto"/>
          <w:spacing w:val="-20"/>
          <w:sz w:val="32"/>
          <w:szCs w:val="32"/>
        </w:rPr>
        <w:t>出台《农村消防</w:t>
      </w:r>
      <w:r>
        <w:rPr>
          <w:rFonts w:hint="eastAsia" w:ascii="方正仿宋_GBK" w:hAnsi="方正仿宋_GBK" w:eastAsia="方正仿宋_GBK" w:cs="方正仿宋_GBK"/>
          <w:b w:val="0"/>
          <w:bCs w:val="0"/>
          <w:color w:val="auto"/>
          <w:spacing w:val="-20"/>
          <w:sz w:val="32"/>
          <w:szCs w:val="32"/>
          <w:lang w:eastAsia="zh-CN"/>
        </w:rPr>
        <w:t>工作</w:t>
      </w:r>
      <w:r>
        <w:rPr>
          <w:rFonts w:hint="eastAsia" w:ascii="方正仿宋_GBK" w:hAnsi="方正仿宋_GBK" w:eastAsia="方正仿宋_GBK" w:cs="方正仿宋_GBK"/>
          <w:b w:val="0"/>
          <w:bCs w:val="0"/>
          <w:color w:val="auto"/>
          <w:spacing w:val="-20"/>
          <w:sz w:val="32"/>
          <w:szCs w:val="32"/>
        </w:rPr>
        <w:t>绩效</w:t>
      </w:r>
      <w:r>
        <w:rPr>
          <w:rFonts w:hint="eastAsia" w:ascii="方正仿宋_GBK" w:hAnsi="方正仿宋_GBK" w:eastAsia="方正仿宋_GBK" w:cs="方正仿宋_GBK"/>
          <w:b w:val="0"/>
          <w:bCs w:val="0"/>
          <w:color w:val="auto"/>
          <w:spacing w:val="-20"/>
          <w:sz w:val="32"/>
          <w:szCs w:val="32"/>
          <w:lang w:eastAsia="zh-CN"/>
        </w:rPr>
        <w:t>考评</w:t>
      </w:r>
      <w:r>
        <w:rPr>
          <w:rFonts w:hint="eastAsia" w:ascii="方正仿宋_GBK" w:hAnsi="方正仿宋_GBK" w:eastAsia="方正仿宋_GBK" w:cs="方正仿宋_GBK"/>
          <w:b w:val="0"/>
          <w:bCs w:val="0"/>
          <w:color w:val="auto"/>
          <w:spacing w:val="-20"/>
          <w:sz w:val="32"/>
          <w:szCs w:val="32"/>
        </w:rPr>
        <w:t>办法》，列入各级政府考核内容并定时进行督导。</w:t>
      </w:r>
      <w:r>
        <w:rPr>
          <w:rFonts w:hint="eastAsia" w:ascii="方正仿宋_GBK" w:hAnsi="方正仿宋_GBK" w:eastAsia="方正仿宋_GBK" w:cs="方正仿宋_GBK"/>
          <w:color w:val="auto"/>
          <w:spacing w:val="-20"/>
          <w:sz w:val="32"/>
          <w:szCs w:val="32"/>
        </w:rPr>
        <w:t>建立农村消防工作部门联动机制，发改、住建、公安、</w:t>
      </w:r>
      <w:r>
        <w:rPr>
          <w:rFonts w:hint="eastAsia" w:ascii="方正仿宋_GBK" w:hAnsi="方正仿宋_GBK" w:eastAsia="方正仿宋_GBK" w:cs="方正仿宋_GBK"/>
          <w:color w:val="auto"/>
          <w:spacing w:val="-20"/>
          <w:sz w:val="32"/>
          <w:szCs w:val="32"/>
          <w:lang w:eastAsia="zh-CN"/>
        </w:rPr>
        <w:t>农牧</w:t>
      </w:r>
      <w:r>
        <w:rPr>
          <w:rFonts w:hint="eastAsia" w:ascii="方正仿宋_GBK" w:hAnsi="方正仿宋_GBK" w:eastAsia="方正仿宋_GBK" w:cs="方正仿宋_GBK"/>
          <w:color w:val="auto"/>
          <w:spacing w:val="-20"/>
          <w:sz w:val="32"/>
          <w:szCs w:val="32"/>
        </w:rPr>
        <w:t>、</w:t>
      </w:r>
      <w:r>
        <w:rPr>
          <w:rFonts w:hint="eastAsia" w:ascii="方正仿宋_GBK" w:hAnsi="方正仿宋_GBK" w:eastAsia="方正仿宋_GBK" w:cs="方正仿宋_GBK"/>
          <w:color w:val="auto"/>
          <w:spacing w:val="-20"/>
          <w:sz w:val="32"/>
          <w:szCs w:val="32"/>
          <w:lang w:eastAsia="zh-CN"/>
        </w:rPr>
        <w:t>乡村振兴</w:t>
      </w:r>
      <w:r>
        <w:rPr>
          <w:rFonts w:hint="eastAsia" w:ascii="方正仿宋_GBK" w:hAnsi="方正仿宋_GBK" w:eastAsia="方正仿宋_GBK" w:cs="方正仿宋_GBK"/>
          <w:color w:val="auto"/>
          <w:spacing w:val="-20"/>
          <w:sz w:val="32"/>
          <w:szCs w:val="32"/>
        </w:rPr>
        <w:t>等部门要将农村消防工作纳入本系统重要议事日程</w:t>
      </w:r>
      <w:r>
        <w:rPr>
          <w:rFonts w:hint="eastAsia" w:ascii="方正仿宋_GBK" w:hAnsi="方正仿宋_GBK" w:eastAsia="方正仿宋_GBK" w:cs="方正仿宋_GBK"/>
          <w:color w:val="auto"/>
          <w:spacing w:val="-20"/>
          <w:sz w:val="32"/>
          <w:szCs w:val="32"/>
          <w:lang w:eastAsia="zh-CN"/>
        </w:rPr>
        <w:t>。</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5" w:name="_Toc24979"/>
      <w:r>
        <w:rPr>
          <w:rFonts w:hint="eastAsia" w:ascii="方正仿宋_GBK" w:hAnsi="方正仿宋_GBK" w:eastAsia="方正仿宋_GBK" w:cs="方正仿宋_GBK"/>
          <w:b/>
          <w:bCs/>
          <w:spacing w:val="-20"/>
          <w:sz w:val="32"/>
          <w:szCs w:val="32"/>
          <w:lang w:val="en-US" w:eastAsia="zh-CN"/>
        </w:rPr>
        <w:t>（二）加大农村消防基础设施建设</w:t>
      </w:r>
      <w:bookmarkEnd w:id="35"/>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rPr>
      </w:pPr>
      <w:r>
        <w:rPr>
          <w:rFonts w:hint="eastAsia" w:ascii="方正仿宋_GBK" w:hAnsi="方正仿宋_GBK" w:eastAsia="方正仿宋_GBK" w:cs="方正仿宋_GBK"/>
          <w:spacing w:val="-20"/>
          <w:sz w:val="32"/>
          <w:szCs w:val="32"/>
          <w:lang w:val="en-US" w:eastAsia="zh-CN"/>
        </w:rPr>
        <w:t>加强乡镇苏木消防规划和消防基础设施建设，加快改造易燃建筑和建筑周边堆垛问题，大力改善消防安全环境。加大</w:t>
      </w:r>
      <w:r>
        <w:rPr>
          <w:rFonts w:hint="eastAsia" w:ascii="方正仿宋_GBK" w:hAnsi="方正仿宋_GBK" w:eastAsia="方正仿宋_GBK" w:cs="方正仿宋_GBK"/>
          <w:spacing w:val="-20"/>
          <w:sz w:val="32"/>
          <w:szCs w:val="32"/>
          <w:lang w:eastAsia="zh-CN"/>
        </w:rPr>
        <w:t>农村消防经费</w:t>
      </w:r>
      <w:r>
        <w:rPr>
          <w:rFonts w:hint="eastAsia" w:ascii="方正仿宋_GBK" w:hAnsi="方正仿宋_GBK" w:eastAsia="方正仿宋_GBK" w:cs="方正仿宋_GBK"/>
          <w:spacing w:val="-20"/>
          <w:sz w:val="32"/>
          <w:szCs w:val="32"/>
        </w:rPr>
        <w:t>，由乡镇政府投入专项资金，县（区）政府予以适当补贴</w:t>
      </w:r>
      <w:r>
        <w:rPr>
          <w:rFonts w:hint="eastAsia" w:ascii="方正仿宋_GBK" w:hAnsi="方正仿宋_GBK" w:eastAsia="方正仿宋_GBK" w:cs="方正仿宋_GBK"/>
          <w:spacing w:val="-20"/>
          <w:sz w:val="32"/>
          <w:szCs w:val="32"/>
          <w:lang w:eastAsia="zh-CN"/>
        </w:rPr>
        <w:t>。</w:t>
      </w:r>
      <w:r>
        <w:rPr>
          <w:rFonts w:hint="eastAsia" w:ascii="方正仿宋_GBK" w:hAnsi="方正仿宋_GBK" w:eastAsia="方正仿宋_GBK" w:cs="方正仿宋_GBK"/>
          <w:spacing w:val="-20"/>
          <w:sz w:val="32"/>
          <w:szCs w:val="32"/>
        </w:rPr>
        <w:t>加强政策保障，拓展资金来源。本着“谁受益、谁投资”的原则，制定优惠政策，调动社会各方面积极性，引导个人、集体和各种经济主体投资农村消防基础设施建设，鼓励捐助农村消防公益事业。</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6" w:name="_Toc5284"/>
      <w:r>
        <w:rPr>
          <w:rFonts w:hint="eastAsia" w:ascii="方正仿宋_GBK" w:hAnsi="方正仿宋_GBK" w:eastAsia="方正仿宋_GBK" w:cs="方正仿宋_GBK"/>
          <w:b/>
          <w:bCs/>
          <w:spacing w:val="-20"/>
          <w:sz w:val="32"/>
          <w:szCs w:val="32"/>
          <w:lang w:val="en-US" w:eastAsia="zh-CN"/>
        </w:rPr>
        <w:t>（三）推进农村消防站建设</w:t>
      </w:r>
      <w:bookmarkEnd w:id="36"/>
    </w:p>
    <w:p>
      <w:pPr>
        <w:keepNext w:val="0"/>
        <w:keepLines w:val="0"/>
        <w:pageBreakBefore w:val="0"/>
        <w:kinsoku/>
        <w:wordWrap/>
        <w:overflowPunct/>
        <w:topLinePunct w:val="0"/>
        <w:autoSpaceDE/>
        <w:autoSpaceDN/>
        <w:bidi w:val="0"/>
        <w:spacing w:line="600" w:lineRule="exact"/>
        <w:ind w:firstLine="560" w:firstLineChars="200"/>
        <w:rPr>
          <w:rFonts w:hint="eastAsia"/>
          <w:lang w:val="en-US" w:eastAsia="zh-CN"/>
        </w:rPr>
      </w:pPr>
      <w:r>
        <w:rPr>
          <w:rFonts w:hint="eastAsia" w:ascii="方正仿宋_GBK" w:hAnsi="方正仿宋_GBK" w:eastAsia="方正仿宋_GBK" w:cs="方正仿宋_GBK"/>
          <w:b w:val="0"/>
          <w:bCs w:val="0"/>
          <w:color w:val="auto"/>
          <w:spacing w:val="-20"/>
          <w:sz w:val="32"/>
          <w:szCs w:val="32"/>
          <w:lang w:val="en-US" w:eastAsia="zh-CN"/>
        </w:rPr>
        <w:t>进一步加强农村消防站建设，实现乡镇农村消防站覆盖率100%。</w:t>
      </w:r>
      <w:r>
        <w:rPr>
          <w:rFonts w:hint="eastAsia" w:ascii="方正仿宋_GBK" w:hAnsi="方正仿宋_GBK" w:eastAsia="方正仿宋_GBK" w:cs="方正仿宋_GBK"/>
          <w:b w:val="0"/>
          <w:bCs w:val="0"/>
          <w:spacing w:val="-20"/>
          <w:sz w:val="32"/>
          <w:szCs w:val="32"/>
          <w:lang w:val="en-US" w:eastAsia="zh-CN"/>
        </w:rPr>
        <w:t>修订《巴彦淖尔市农村消防站管理办法》，</w:t>
      </w:r>
      <w:r>
        <w:rPr>
          <w:rFonts w:hint="eastAsia" w:ascii="方正仿宋_GBK" w:hAnsi="方正仿宋_GBK" w:eastAsia="方正仿宋_GBK" w:cs="方正仿宋_GBK"/>
          <w:b w:val="0"/>
          <w:bCs w:val="0"/>
          <w:spacing w:val="-20"/>
          <w:sz w:val="32"/>
          <w:szCs w:val="32"/>
        </w:rPr>
        <w:t>理清归属关系、形成统一模式，每个农村消防站每年不低于1</w:t>
      </w:r>
      <w:r>
        <w:rPr>
          <w:rFonts w:hint="eastAsia" w:ascii="方正仿宋_GBK" w:hAnsi="方正仿宋_GBK" w:eastAsia="方正仿宋_GBK" w:cs="方正仿宋_GBK"/>
          <w:b w:val="0"/>
          <w:bCs w:val="0"/>
          <w:spacing w:val="-20"/>
          <w:sz w:val="32"/>
          <w:szCs w:val="32"/>
          <w:lang w:val="en-US" w:eastAsia="zh-CN"/>
        </w:rPr>
        <w:t>5</w:t>
      </w:r>
      <w:r>
        <w:rPr>
          <w:rFonts w:hint="eastAsia" w:ascii="方正仿宋_GBK" w:hAnsi="方正仿宋_GBK" w:eastAsia="方正仿宋_GBK" w:cs="方正仿宋_GBK"/>
          <w:b w:val="0"/>
          <w:bCs w:val="0"/>
          <w:spacing w:val="-20"/>
          <w:sz w:val="32"/>
          <w:szCs w:val="32"/>
        </w:rPr>
        <w:t>万元的业务经费列入财政预算，并按每年不低于10%增长，做到有组织、有制度、有设施、有队伍、有检查、有宣传，切实提升农村消防站的生命力、战斗力。</w:t>
      </w:r>
      <w:r>
        <w:rPr>
          <w:rFonts w:hint="eastAsia" w:ascii="方正仿宋_GBK" w:hAnsi="方正仿宋_GBK" w:eastAsia="方正仿宋_GBK" w:cs="方正仿宋_GBK"/>
          <w:b w:val="0"/>
          <w:bCs w:val="0"/>
          <w:spacing w:val="-20"/>
          <w:sz w:val="32"/>
          <w:szCs w:val="32"/>
          <w:lang w:val="en-US" w:eastAsia="zh-CN"/>
        </w:rPr>
        <w:t>2022年</w:t>
      </w:r>
      <w:r>
        <w:rPr>
          <w:rFonts w:hint="eastAsia" w:ascii="方正仿宋_GBK" w:hAnsi="方正仿宋_GBK" w:eastAsia="方正仿宋_GBK" w:cs="方正仿宋_GBK"/>
          <w:b w:val="0"/>
          <w:bCs w:val="0"/>
          <w:spacing w:val="-20"/>
          <w:sz w:val="32"/>
          <w:szCs w:val="32"/>
        </w:rPr>
        <w:t>制定《农村消防站标准化建设规定》，对营房建设、装备配置、执勤制度、业务培训、考评奖惩等方面，全面实行标准化建设。</w:t>
      </w:r>
      <w:r>
        <w:rPr>
          <w:rFonts w:hint="eastAsia" w:ascii="方正仿宋_GBK" w:hAnsi="方正仿宋_GBK" w:eastAsia="方正仿宋_GBK" w:cs="方正仿宋_GBK"/>
          <w:b w:val="0"/>
          <w:bCs w:val="0"/>
          <w:spacing w:val="-20"/>
          <w:sz w:val="32"/>
          <w:szCs w:val="32"/>
          <w:lang w:val="en-US" w:eastAsia="zh-CN"/>
        </w:rPr>
        <w:t>2023年</w:t>
      </w:r>
      <w:r>
        <w:rPr>
          <w:rFonts w:hint="eastAsia" w:ascii="方正仿宋_GBK" w:hAnsi="方正仿宋_GBK" w:eastAsia="方正仿宋_GBK" w:cs="方正仿宋_GBK"/>
          <w:b w:val="0"/>
          <w:bCs w:val="0"/>
          <w:spacing w:val="-20"/>
          <w:sz w:val="32"/>
          <w:szCs w:val="32"/>
        </w:rPr>
        <w:t>制定《农村消防站装备器材配备标准》，对“基本配置”和“推荐配置”进行明确，有条件的可配备山地消防车、钢筋速断器、细水雾灭火器等装备器材，增强其应急救援能力。</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7" w:name="_Toc29474"/>
      <w:r>
        <w:rPr>
          <w:rFonts w:hint="eastAsia" w:ascii="方正仿宋_GBK" w:hAnsi="方正仿宋_GBK" w:eastAsia="方正仿宋_GBK" w:cs="方正仿宋_GBK"/>
          <w:b/>
          <w:bCs/>
          <w:spacing w:val="-20"/>
          <w:sz w:val="32"/>
          <w:szCs w:val="32"/>
          <w:lang w:val="en-US" w:eastAsia="zh-CN"/>
        </w:rPr>
        <w:t>（四）有效减少农村火灾</w:t>
      </w:r>
      <w:bookmarkEnd w:id="3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b w:val="0"/>
          <w:bCs w:val="0"/>
          <w:color w:val="FF0000"/>
          <w:spacing w:val="-20"/>
          <w:sz w:val="32"/>
          <w:szCs w:val="32"/>
          <w:lang w:val="en-US" w:eastAsia="zh-CN"/>
        </w:rPr>
      </w:pPr>
      <w:r>
        <w:rPr>
          <w:rFonts w:hint="eastAsia" w:ascii="方正仿宋_GBK" w:hAnsi="方正仿宋_GBK" w:eastAsia="方正仿宋_GBK" w:cs="方正仿宋_GBK"/>
          <w:b w:val="0"/>
          <w:bCs w:val="0"/>
          <w:spacing w:val="-20"/>
          <w:sz w:val="32"/>
          <w:szCs w:val="32"/>
          <w:lang w:val="en-US" w:eastAsia="zh-CN"/>
        </w:rPr>
        <w:t>根据农村生产生活实际情况和火灾特点，探索制定《巴彦淖尔市农村消防安全标准</w:t>
      </w:r>
      <w:r>
        <w:rPr>
          <w:rFonts w:hint="eastAsia" w:ascii="方正仿宋_GBK" w:hAnsi="方正仿宋_GBK" w:eastAsia="方正仿宋_GBK" w:cs="方正仿宋_GBK"/>
          <w:spacing w:val="-20"/>
          <w:sz w:val="32"/>
          <w:szCs w:val="32"/>
          <w:lang w:val="en-US" w:eastAsia="zh-CN"/>
        </w:rPr>
        <w:t>》；做好电气线路改造等工作，推广秸秆还田、青贮饲料转化技术和农村户用沼气等清洁能源，减少秸秆堆垛火灾发生，有效治理农村烧荒、焚烧秸秆等行为，实现2025年农村秸秆火灾占总数小于30%。</w:t>
      </w:r>
      <w:r>
        <w:rPr>
          <w:rFonts w:hint="eastAsia" w:ascii="方正仿宋_GBK" w:hAnsi="方正仿宋_GBK" w:eastAsia="方正仿宋_GBK" w:cs="方正仿宋_GBK"/>
          <w:b w:val="0"/>
          <w:bCs w:val="0"/>
          <w:spacing w:val="-20"/>
          <w:sz w:val="32"/>
          <w:szCs w:val="32"/>
          <w:lang w:val="en-US" w:eastAsia="zh-CN"/>
        </w:rPr>
        <w:t>引导保险公司开发适合农村的火灾公众责任保险，指导农村群众购买与房屋财产相对应的火灾保险，提高农牧民承受火灾损失的能力。设立专项农村火灾慈善基金，有效转移农村火灾风险。</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38" w:name="_Toc25159"/>
      <w:r>
        <w:rPr>
          <w:rFonts w:hint="eastAsia" w:ascii="方正楷体_GBK" w:hAnsi="方正楷体_GBK" w:eastAsia="方正楷体_GBK" w:cs="方正楷体_GBK"/>
          <w:b/>
          <w:bCs/>
          <w:spacing w:val="-20"/>
          <w:sz w:val="32"/>
          <w:szCs w:val="32"/>
          <w:lang w:eastAsia="zh-CN"/>
        </w:rPr>
        <w:t>五</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全面加强消防宣传教育培训</w:t>
      </w:r>
      <w:bookmarkEnd w:id="38"/>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39" w:name="_Toc24558"/>
      <w:r>
        <w:rPr>
          <w:rFonts w:hint="eastAsia" w:ascii="方正仿宋_GBK" w:hAnsi="方正仿宋_GBK" w:eastAsia="方正仿宋_GBK" w:cs="方正仿宋_GBK"/>
          <w:b/>
          <w:bCs/>
          <w:spacing w:val="-20"/>
          <w:sz w:val="32"/>
          <w:szCs w:val="32"/>
          <w:lang w:val="en-US" w:eastAsia="zh-CN"/>
        </w:rPr>
        <w:t>（一）加强消防宣传政策保障</w:t>
      </w:r>
      <w:bookmarkEnd w:id="39"/>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出台推进社会化宣传工作的相关文件，进一步推动行业部门及社会单位落实消防安全宣传培训教育责任。推动各级各部门将消防宣传教育培训纳入国民安全教育、普法教育、科普教育、劳动就业培训体系，将消防安全纳入精神文明、安全社区、美丽乡村、安全单位创建和企业安全标准化创建活动。继续推动党校将消防安全知识纳入干部培训课程。创新消防安全培训方式，充分利用网络教学，实现社会化消防安全培训资源的共享，降低培训成本。对不同的消防对象因材施教，重点对单位消防安全责任人、管理人、消防安全检测人员及消防志愿者等人群进行培训，利用5年时间，按照每年20%的人群比例完成培训工作。</w:t>
      </w:r>
      <w:r>
        <w:rPr>
          <w:rFonts w:hint="eastAsia" w:ascii="方正仿宋_GBK" w:hAnsi="方正仿宋_GBK" w:eastAsia="方正仿宋_GBK" w:cs="方正仿宋_GBK"/>
          <w:color w:val="auto"/>
          <w:spacing w:val="-20"/>
          <w:sz w:val="32"/>
          <w:szCs w:val="32"/>
          <w:lang w:val="en-US" w:eastAsia="zh-CN"/>
        </w:rPr>
        <w:t>大力推进消防宣传“五进”活动。</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0" w:name="_Toc1253"/>
      <w:r>
        <w:rPr>
          <w:rFonts w:hint="eastAsia" w:ascii="方正仿宋_GBK" w:hAnsi="方正仿宋_GBK" w:eastAsia="方正仿宋_GBK" w:cs="方正仿宋_GBK"/>
          <w:b/>
          <w:bCs/>
          <w:spacing w:val="-20"/>
          <w:sz w:val="32"/>
          <w:szCs w:val="32"/>
          <w:lang w:val="en-US" w:eastAsia="zh-CN"/>
        </w:rPr>
        <w:t>（二）推进消防宣传基础设施建设</w:t>
      </w:r>
      <w:bookmarkEnd w:id="40"/>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升级改造现有消防科普教育馆，规范消防站、消防博物馆、消防公园等消防科普教育基地建设，充分将三维影像、全息投影、VR等高科技技术应用于火场逃生、灭火器使用等项目，实现游戏趣味互动功能，寓教于乐。临河区、杭锦后旗、五原县三地自2021年开始，打造一条“消防宣传长廊、消防安全文化街、消防宣传主题小区”等特色亮点工程。乌拉特前旗、磴口县依托城市公园，于2023年底前完成消防文化主题公园建设。乌拉特中旗、乌拉特后旗依托防灾馆、科技馆、图书馆、电影院、社区（村镇）党员服务中心等具有民族特色的公共活动场所，2023年底前规划建设完成长久型、固定式消防安全文化功能宣传阵地。</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1" w:name="_Toc32422"/>
      <w:r>
        <w:rPr>
          <w:rFonts w:hint="eastAsia" w:ascii="方正仿宋_GBK" w:hAnsi="方正仿宋_GBK" w:eastAsia="方正仿宋_GBK" w:cs="方正仿宋_GBK"/>
          <w:b/>
          <w:bCs/>
          <w:spacing w:val="-20"/>
          <w:sz w:val="32"/>
          <w:szCs w:val="32"/>
          <w:lang w:val="en-US" w:eastAsia="zh-CN"/>
        </w:rPr>
        <w:t>（三）实施全民消防教育培训计划</w:t>
      </w:r>
      <w:bookmarkEnd w:id="41"/>
    </w:p>
    <w:p>
      <w:pPr>
        <w:keepNext w:val="0"/>
        <w:keepLines w:val="0"/>
        <w:pageBreakBefore w:val="0"/>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进一步完善社会化消防培训教育体系，加强行业系统培训。将消防安全教育纳入学历教育，中小学、幼儿园将消防知识纳入教学内容，80%以上的中小学做到消防安全知识教材、师资、课时全保证。“十四五”期间，</w:t>
      </w:r>
      <w:r>
        <w:rPr>
          <w:rFonts w:hint="eastAsia" w:ascii="方正仿宋_GBK" w:hAnsi="方正仿宋_GBK" w:eastAsia="方正仿宋_GBK" w:cs="方正仿宋_GBK"/>
          <w:color w:val="auto"/>
          <w:spacing w:val="-20"/>
          <w:sz w:val="32"/>
          <w:szCs w:val="32"/>
          <w:lang w:val="en-US" w:eastAsia="zh-CN"/>
        </w:rPr>
        <w:t>60%的乡镇、街道、公安派出所、小区业主委员会等建立家庭消防安全宣传教育制度。60%的社区建立消防安全宣传教育制度，30%以上的社区至少明确1名消防宣传大使。</w:t>
      </w:r>
      <w:r>
        <w:rPr>
          <w:rFonts w:hint="eastAsia" w:ascii="方正仿宋_GBK" w:hAnsi="方正仿宋_GBK" w:eastAsia="方正仿宋_GBK" w:cs="方正仿宋_GBK"/>
          <w:spacing w:val="-20"/>
          <w:sz w:val="32"/>
          <w:szCs w:val="32"/>
          <w:lang w:val="en-US" w:eastAsia="zh-CN"/>
        </w:rPr>
        <w:t>100%的社会单位消防安全责任人和管理人、消防专兼职人员、消防控制室操作人员、微型消防站人员、物业保安队伍参与消防安全培训，消防安全重点单位消防控制室值班操作人员实现100%定岗定责、100%接受专业技能培训。依托乡镇苏木司法所采取农村站队员“进万家”方式，实现农村宣传全覆盖，消防常识全民懂。 </w:t>
      </w:r>
    </w:p>
    <w:p>
      <w:pPr>
        <w:pStyle w:val="2"/>
        <w:keepNext w:val="0"/>
        <w:keepLines w:val="0"/>
        <w:pageBreakBefore w:val="0"/>
        <w:kinsoku/>
        <w:wordWrap/>
        <w:overflowPunct/>
        <w:topLinePunct w:val="0"/>
        <w:autoSpaceDE/>
        <w:autoSpaceDN/>
        <w:bidi w:val="0"/>
        <w:spacing w:line="600" w:lineRule="exact"/>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42" w:name="_Toc20513"/>
      <w:r>
        <w:rPr>
          <w:rFonts w:hint="eastAsia" w:ascii="方正楷体_GBK" w:hAnsi="方正楷体_GBK" w:eastAsia="方正楷体_GBK" w:cs="方正楷体_GBK"/>
          <w:b/>
          <w:bCs/>
          <w:spacing w:val="-20"/>
          <w:sz w:val="32"/>
          <w:szCs w:val="32"/>
          <w:lang w:eastAsia="zh-CN"/>
        </w:rPr>
        <w:t>六</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构建消防救援力量体系</w:t>
      </w:r>
      <w:bookmarkEnd w:id="42"/>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3" w:name="_Toc30059"/>
      <w:r>
        <w:rPr>
          <w:rFonts w:hint="eastAsia" w:ascii="方正仿宋_GBK" w:hAnsi="方正仿宋_GBK" w:eastAsia="方正仿宋_GBK" w:cs="方正仿宋_GBK"/>
          <w:b/>
          <w:bCs/>
          <w:spacing w:val="-20"/>
          <w:sz w:val="32"/>
          <w:szCs w:val="32"/>
          <w:lang w:val="en-US" w:eastAsia="zh-CN"/>
        </w:rPr>
        <w:t>（一）加强应急联动机制建设</w:t>
      </w:r>
      <w:bookmarkEnd w:id="43"/>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建立政府统一领导的应急救援联勤联动机制，强化各区旗县政府、部门和单位的应急救援职责，构建“条块结合、一管到底”的综合应急力量网络。2021年完</w:t>
      </w:r>
      <w:r>
        <w:rPr>
          <w:rFonts w:hint="eastAsia" w:ascii="方正仿宋_GBK" w:hAnsi="方正仿宋_GBK" w:eastAsia="方正仿宋_GBK" w:cs="方正仿宋_GBK"/>
          <w:spacing w:val="-20"/>
          <w:sz w:val="32"/>
          <w:szCs w:val="32"/>
          <w:lang w:val="en-US" w:eastAsia="zh-CN"/>
        </w:rPr>
        <w:t>成市级专家组建设，2023年基于市级基础上完成各旗县区的专家组建设，2024年完成全市整合统一。建立完善以消防队伍为主力、各方力量广泛参与的实装、实地、实战常态化训练演练机制，不断提高联勤联动水平，提高多种力量协同作战能力。建立用于地震等应急救援的大型机械社会储备库和应急调用及补偿机制。</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4" w:name="_Toc30352"/>
      <w:r>
        <w:rPr>
          <w:rFonts w:hint="eastAsia" w:ascii="方正仿宋_GBK" w:hAnsi="方正仿宋_GBK" w:eastAsia="方正仿宋_GBK" w:cs="方正仿宋_GBK"/>
          <w:b/>
          <w:bCs/>
          <w:spacing w:val="-20"/>
          <w:sz w:val="32"/>
          <w:szCs w:val="32"/>
          <w:lang w:val="en-US" w:eastAsia="zh-CN"/>
        </w:rPr>
        <w:t>（二）加强水域航空救援队伍建设。</w:t>
      </w:r>
      <w:bookmarkEnd w:id="44"/>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巴彦淖尔自然水域资源丰富的特点，打造一支立足河套、辐射全区的机动性能强、装备技术精、专业水平高的水域救援专业队伍。人员按照不少于40人的标准进行编配，按照选拔特殊人员、配备特殊装备、划拨特殊经费、享受特殊待遇、承担特殊任务的标准组建队伍。科学评估水域救援现有装备体系，对现有的装备器材进行调整优化，按照标准配备舟（艇）、水域救援模块车等器材装备。设置</w:t>
      </w:r>
      <w:r>
        <w:rPr>
          <w:rFonts w:hint="eastAsia" w:eastAsia="仿宋_GB2312"/>
          <w:b w:val="0"/>
          <w:bCs w:val="0"/>
          <w:snapToGrid w:val="0"/>
          <w:color w:val="auto"/>
          <w:kern w:val="0"/>
          <w:sz w:val="32"/>
          <w:szCs w:val="32"/>
          <w:lang w:eastAsia="zh-CN"/>
        </w:rPr>
        <w:t>水面舟艇救援、</w:t>
      </w:r>
      <w:r>
        <w:rPr>
          <w:rFonts w:hint="eastAsia" w:ascii="方正仿宋_GBK" w:hAnsi="方正仿宋_GBK" w:eastAsia="方正仿宋_GBK" w:cs="方正仿宋_GBK"/>
          <w:color w:val="auto"/>
          <w:spacing w:val="-20"/>
          <w:sz w:val="32"/>
          <w:szCs w:val="32"/>
          <w:lang w:val="en-US" w:eastAsia="zh-CN"/>
        </w:rPr>
        <w:t>潜水救援2个水域救援分队和1个救援保障队，分别侧重于执行内河、湖泊、水库和城市内涝，开放水域的潜水救援任务</w:t>
      </w:r>
      <w:r>
        <w:rPr>
          <w:rFonts w:hint="eastAsia" w:ascii="方正仿宋_GBK" w:hAnsi="方正仿宋_GBK" w:cs="方正仿宋_GBK"/>
          <w:color w:val="auto"/>
          <w:spacing w:val="-20"/>
          <w:sz w:val="32"/>
          <w:szCs w:val="32"/>
          <w:lang w:val="en-US" w:eastAsia="zh-CN"/>
        </w:rPr>
        <w:t>。</w:t>
      </w:r>
      <w:r>
        <w:rPr>
          <w:rFonts w:hint="eastAsia" w:ascii="方正仿宋_GBK" w:hAnsi="方正仿宋_GBK" w:eastAsia="方正仿宋_GBK" w:cs="方正仿宋_GBK"/>
          <w:color w:val="auto"/>
          <w:spacing w:val="-20"/>
          <w:sz w:val="32"/>
          <w:szCs w:val="32"/>
          <w:lang w:val="en-US" w:eastAsia="zh-CN"/>
        </w:rPr>
        <w:t>构建空中救援投送力量，并开展专业化索（滑）降、重型机械吊送等训练。利用直升机形成“空地一体”救援物资和救援力量投送的救援新模式。在2025年前使轻型地震救援队、水域救援专业队与空中救援力量相结合形成战斗力。</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5" w:name="_Toc9608"/>
      <w:r>
        <w:rPr>
          <w:rFonts w:hint="eastAsia" w:ascii="方正仿宋_GBK" w:hAnsi="方正仿宋_GBK" w:eastAsia="方正仿宋_GBK" w:cs="方正仿宋_GBK"/>
          <w:b/>
          <w:bCs/>
          <w:spacing w:val="-20"/>
          <w:sz w:val="32"/>
          <w:szCs w:val="32"/>
          <w:lang w:val="en-US" w:eastAsia="zh-CN"/>
        </w:rPr>
        <w:t>（三）加强专业化攻坚队伍建设。</w:t>
      </w:r>
      <w:bookmarkEnd w:id="45"/>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实施“灭火救援攻坚能力提升工程”，全面加强基层综合救援队伍建设。202</w:t>
      </w:r>
      <w:r>
        <w:rPr>
          <w:rFonts w:hint="default" w:ascii="方正仿宋_GBK" w:hAnsi="方正仿宋_GBK" w:eastAsia="方正仿宋_GBK" w:cs="方正仿宋_GBK"/>
          <w:color w:val="auto"/>
          <w:spacing w:val="-20"/>
          <w:sz w:val="32"/>
          <w:szCs w:val="32"/>
          <w:lang w:val="en-US" w:eastAsia="zh-CN"/>
        </w:rPr>
        <w:t>3</w:t>
      </w:r>
      <w:r>
        <w:rPr>
          <w:rFonts w:hint="eastAsia" w:ascii="方正仿宋_GBK" w:hAnsi="方正仿宋_GBK" w:eastAsia="方正仿宋_GBK" w:cs="方正仿宋_GBK"/>
          <w:color w:val="auto"/>
          <w:spacing w:val="-20"/>
          <w:sz w:val="32"/>
          <w:szCs w:val="32"/>
          <w:lang w:val="en-US" w:eastAsia="zh-CN"/>
        </w:rPr>
        <w:t>年，在乌拉特前旗、乌拉特中旗、乌拉特后旗分别建设根据本辖区化工产业特点相应类型的灾害事故处置专业队伍。强化现有轻型地震救援队，在2024年前完成专业化的轻型地震救援队、轻型水域救援队的组建工作并积极开展地震、水域灾害应急救援培训和训练。加强石油化工企业灭火救援准备，完善化工灭火救援编队，2024年前完成对各类石油化工企业专职消防队伍力量进行整合，形成处置大型石油化工物质灾害事故的化工灭火救援编队力量。按照“普通消防站特勤化、特勤消防站专业化”的思路，进一步加强特勤站建设，加强对高层建筑、地下空间、石油化工等特殊复杂火灾的灭火技战术研究。“十四五”结束前完成石油化工、大型建筑、地震救援、水域救援专业队伍建设，形成各类火灾扑救及各类事故处置模块，按照专业开展针对性训练。</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6" w:name="_Toc12567"/>
      <w:r>
        <w:rPr>
          <w:rFonts w:hint="eastAsia" w:ascii="方正仿宋_GBK" w:hAnsi="方正仿宋_GBK" w:eastAsia="方正仿宋_GBK" w:cs="方正仿宋_GBK"/>
          <w:b/>
          <w:bCs/>
          <w:spacing w:val="-20"/>
          <w:sz w:val="32"/>
          <w:szCs w:val="32"/>
          <w:lang w:val="en-US" w:eastAsia="zh-CN"/>
        </w:rPr>
        <w:t>（四）加强战勤保障体系建设</w:t>
      </w:r>
      <w:bookmarkEnd w:id="46"/>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spacing w:val="-20"/>
          <w:sz w:val="32"/>
          <w:szCs w:val="32"/>
          <w:lang w:val="en-US" w:eastAsia="zh-CN"/>
        </w:rPr>
      </w:pPr>
      <w:r>
        <w:rPr>
          <w:rFonts w:hint="eastAsia" w:ascii="方正仿宋_GBK" w:hAnsi="方正仿宋_GBK" w:eastAsia="方正仿宋_GBK" w:cs="方正仿宋_GBK"/>
          <w:spacing w:val="-20"/>
          <w:sz w:val="32"/>
          <w:szCs w:val="32"/>
          <w:lang w:val="en-US" w:eastAsia="zh-CN"/>
        </w:rPr>
        <w:t>结合全市产业分布、地域特点，突出抓好战勤保障体系建设。2022年战勤保障库、特勤消防站集中储备一定数量的防护装备和灭火药剂；2025年，建立具有区域辐射功能的物资仓储、应急运输、油料供给、防化洗消、技术服务、卫勤保障六大功能模块；到2025年底，旗县区各消防救援大队逐步建立符合当地地域特点的战勤保障单元；强化战勤保障队伍建设，配齐配强战勤保障人员，坚持战勤保障值班备勤和等级响应制度。强化各战勤保障单位和社会各联勤单位在应急物资储备、装备调集等方面的实时互联互通，建立与交通、运输、电力、通信、医疗、商务、防疫等部门间的联勤保障协作机制；与物流运输、油料、灭火药剂等本地生产、销售、储存企业签订灭火救援服务或代储代供协议，平时厂家储存、战时紧急供应。</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47" w:name="_Toc30197"/>
      <w:r>
        <w:rPr>
          <w:rFonts w:hint="eastAsia" w:ascii="方正仿宋_GBK" w:hAnsi="方正仿宋_GBK" w:eastAsia="方正仿宋_GBK" w:cs="方正仿宋_GBK"/>
          <w:b/>
          <w:bCs/>
          <w:spacing w:val="-20"/>
          <w:sz w:val="32"/>
          <w:szCs w:val="32"/>
          <w:lang w:val="en-US" w:eastAsia="zh-CN"/>
        </w:rPr>
        <w:t>（五）加强多元消防力量建设</w:t>
      </w:r>
      <w:bookmarkEnd w:id="47"/>
      <w:r>
        <w:rPr>
          <w:rFonts w:hint="eastAsia" w:ascii="方正仿宋_GBK" w:hAnsi="方正仿宋_GBK" w:eastAsia="方正仿宋_GBK" w:cs="方正仿宋_GBK"/>
          <w:b/>
          <w:bCs/>
          <w:spacing w:val="-20"/>
          <w:sz w:val="32"/>
          <w:szCs w:val="32"/>
          <w:lang w:val="en-US" w:eastAsia="zh-CN"/>
        </w:rPr>
        <w:t xml:space="preserve"> </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spacing w:val="-20"/>
          <w:sz w:val="32"/>
          <w:szCs w:val="32"/>
          <w:lang w:val="en-US" w:eastAsia="zh-CN"/>
        </w:rPr>
        <w:t>立足消防治理体系和治理能力的现代化，大力发展多种形式消防队伍，充分发挥政府在规划、标准、投入等方面的主体功能，统筹规划专业应急救援队伍的种类、数量、层次、布局等，制定各级各类救援队伍建设标准及管理办法，保障人员、装备、资金等方面的持续稳定投入，建成政府专职消防队、保安联防消防队、农村志愿消防队。逐步推进人口稠密区、商业集中区、工业园区中小型站建设，在无消防力量的老城区探索利用政府闲置房产建设微型消防站或消防执勤点。</w:t>
      </w:r>
      <w:r>
        <w:rPr>
          <w:rFonts w:hint="eastAsia" w:ascii="方正仿宋_GBK" w:hAnsi="方正仿宋_GBK" w:eastAsia="方正仿宋_GBK" w:cs="方正仿宋_GBK"/>
          <w:color w:val="auto"/>
          <w:spacing w:val="-20"/>
          <w:sz w:val="32"/>
          <w:szCs w:val="32"/>
          <w:lang w:val="en-US" w:eastAsia="zh-CN"/>
        </w:rPr>
        <w:t>2021年底，实现街道社区和重点单位微型消防站建成率100%。完成志愿（兼职）消防队建设，规划消防志愿者达到200人；2021年底前，100%所有行政村、自然村完成志愿（兼职）消防队建设，规划消防志愿者达到200人。2022年以前，建成消防志愿速报员体系。2025年底前，所有行政村、自然村100%完成志愿（兼职）消防队建设，规划消防志愿者达到1000人。</w:t>
      </w:r>
    </w:p>
    <w:tbl>
      <w:tblPr>
        <w:tblStyle w:val="12"/>
        <w:tblW w:w="0" w:type="auto"/>
        <w:tblInd w:w="0" w:type="dxa"/>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Layout w:type="autofit"/>
        <w:tblCellMar>
          <w:top w:w="0" w:type="dxa"/>
          <w:left w:w="108" w:type="dxa"/>
          <w:bottom w:w="0" w:type="dxa"/>
          <w:right w:w="108" w:type="dxa"/>
        </w:tblCellMar>
      </w:tblPr>
      <w:tblGrid>
        <w:gridCol w:w="9060"/>
      </w:tblGrid>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c>
          <w:tcPr>
            <w:tcW w:w="9060" w:type="dxa"/>
          </w:tcPr>
          <w:p>
            <w:pPr>
              <w:keepNext w:val="0"/>
              <w:keepLines w:val="0"/>
              <w:pageBreakBefore w:val="0"/>
              <w:kinsoku/>
              <w:wordWrap/>
              <w:overflowPunct/>
              <w:topLinePunct w:val="0"/>
              <w:autoSpaceDE/>
              <w:autoSpaceDN/>
              <w:bidi w:val="0"/>
              <w:spacing w:after="0"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专栏3政府专职队伍建设重点</w:t>
            </w:r>
          </w:p>
        </w:tc>
      </w:tr>
      <w:tr>
        <w:tblPrEx>
          <w:tblBorders>
            <w:top w:val="single" w:color="auto" w:sz="8" w:space="0"/>
            <w:left w:val="single" w:color="auto" w:sz="8" w:space="0"/>
            <w:bottom w:val="single" w:color="auto" w:sz="8" w:space="0"/>
            <w:right w:val="single" w:color="auto" w:sz="8" w:space="0"/>
            <w:insideH w:val="single" w:color="auto" w:sz="8" w:space="0"/>
            <w:insideV w:val="none" w:color="auto" w:sz="0" w:space="0"/>
          </w:tblBorders>
          <w:tblCellMar>
            <w:top w:w="0" w:type="dxa"/>
            <w:left w:w="108" w:type="dxa"/>
            <w:bottom w:w="0" w:type="dxa"/>
            <w:right w:w="108" w:type="dxa"/>
          </w:tblCellMar>
        </w:tblPrEx>
        <w:trPr>
          <w:trHeight w:val="1130" w:hRule="atLeast"/>
        </w:trPr>
        <w:tc>
          <w:tcPr>
            <w:tcW w:w="9060" w:type="dxa"/>
          </w:tcPr>
          <w:p>
            <w:pPr>
              <w:keepNext w:val="0"/>
              <w:keepLines w:val="0"/>
              <w:pageBreakBefore w:val="0"/>
              <w:kinsoku/>
              <w:wordWrap/>
              <w:overflowPunct/>
              <w:topLinePunct w:val="0"/>
              <w:autoSpaceDE/>
              <w:autoSpaceDN/>
              <w:bidi w:val="0"/>
              <w:spacing w:after="0" w:line="600" w:lineRule="exact"/>
              <w:ind w:firstLine="640" w:firstLineChars="200"/>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新建城市专职消防</w:t>
            </w:r>
            <w:r>
              <w:rPr>
                <w:rFonts w:hint="eastAsia" w:ascii="Times New Roman" w:hAnsi="Times New Roman" w:eastAsia="方正仿宋_GBK"/>
                <w:color w:val="auto"/>
                <w:sz w:val="32"/>
                <w:szCs w:val="32"/>
                <w:lang w:eastAsia="zh-CN"/>
              </w:rPr>
              <w:t>队</w:t>
            </w:r>
            <w:r>
              <w:rPr>
                <w:rFonts w:hint="eastAsia" w:eastAsia="方正仿宋_GBK"/>
                <w:color w:val="auto"/>
                <w:sz w:val="32"/>
                <w:szCs w:val="32"/>
                <w:lang w:val="en-US" w:eastAsia="zh-CN"/>
              </w:rPr>
              <w:t>4</w:t>
            </w:r>
            <w:r>
              <w:rPr>
                <w:rFonts w:hint="eastAsia" w:ascii="Times New Roman" w:hAnsi="Times New Roman" w:eastAsia="方正仿宋_GBK"/>
                <w:color w:val="auto"/>
                <w:sz w:val="32"/>
                <w:szCs w:val="32"/>
              </w:rPr>
              <w:t>个（一级普通消防站标准队</w:t>
            </w:r>
            <w:r>
              <w:rPr>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rPr>
              <w:t>个、二级普通消防站标准队</w:t>
            </w:r>
            <w:r>
              <w:rPr>
                <w:rFonts w:hint="eastAsia" w:eastAsia="方正仿宋_GBK"/>
                <w:color w:val="auto"/>
                <w:sz w:val="32"/>
                <w:szCs w:val="32"/>
                <w:lang w:val="en-US" w:eastAsia="zh-CN"/>
              </w:rPr>
              <w:t>2</w:t>
            </w:r>
            <w:r>
              <w:rPr>
                <w:rFonts w:hint="eastAsia" w:ascii="Times New Roman" w:hAnsi="Times New Roman" w:eastAsia="方正仿宋_GBK"/>
                <w:color w:val="auto"/>
                <w:sz w:val="32"/>
                <w:szCs w:val="32"/>
              </w:rPr>
              <w:t>个、小型</w:t>
            </w:r>
            <w:r>
              <w:rPr>
                <w:rFonts w:hint="eastAsia" w:eastAsia="方正仿宋_GBK"/>
                <w:color w:val="auto"/>
                <w:sz w:val="32"/>
                <w:szCs w:val="32"/>
                <w:lang w:eastAsia="zh-CN"/>
              </w:rPr>
              <w:t>站标准</w:t>
            </w:r>
            <w:r>
              <w:rPr>
                <w:rFonts w:hint="eastAsia" w:ascii="Times New Roman" w:hAnsi="Times New Roman" w:eastAsia="方正仿宋_GBK"/>
                <w:color w:val="auto"/>
                <w:sz w:val="32"/>
                <w:szCs w:val="32"/>
              </w:rPr>
              <w:t>队</w:t>
            </w:r>
            <w:r>
              <w:rPr>
                <w:rFonts w:hint="eastAsia" w:eastAsia="方正仿宋_GBK"/>
                <w:color w:val="auto"/>
                <w:sz w:val="32"/>
                <w:szCs w:val="32"/>
                <w:lang w:val="en-US" w:eastAsia="zh-CN"/>
              </w:rPr>
              <w:t>1</w:t>
            </w:r>
            <w:r>
              <w:rPr>
                <w:rFonts w:hint="eastAsia" w:ascii="Times New Roman" w:hAnsi="Times New Roman" w:eastAsia="方正仿宋_GBK"/>
                <w:color w:val="auto"/>
                <w:sz w:val="32"/>
                <w:szCs w:val="32"/>
              </w:rPr>
              <w:t>个）；新建乡镇专职消防队</w:t>
            </w:r>
            <w:r>
              <w:rPr>
                <w:rFonts w:hint="eastAsia" w:ascii="Times New Roman" w:hAnsi="Times New Roman" w:eastAsia="方正仿宋_GBK"/>
                <w:color w:val="auto"/>
                <w:sz w:val="32"/>
                <w:szCs w:val="32"/>
                <w:lang w:val="en-US" w:eastAsia="zh-CN"/>
              </w:rPr>
              <w:t>8</w:t>
            </w:r>
            <w:r>
              <w:rPr>
                <w:rFonts w:hint="eastAsia" w:ascii="Times New Roman" w:hAnsi="Times New Roman" w:eastAsia="方正仿宋_GBK"/>
                <w:color w:val="auto"/>
                <w:sz w:val="32"/>
                <w:szCs w:val="32"/>
              </w:rPr>
              <w:t>个（二级乡镇专职消防</w:t>
            </w:r>
            <w:r>
              <w:rPr>
                <w:rFonts w:hint="eastAsia" w:eastAsia="方正仿宋_GBK"/>
                <w:color w:val="auto"/>
                <w:sz w:val="32"/>
                <w:szCs w:val="32"/>
                <w:lang w:eastAsia="zh-CN"/>
              </w:rPr>
              <w:t>队</w:t>
            </w:r>
            <w:r>
              <w:rPr>
                <w:rFonts w:hint="eastAsia" w:ascii="Times New Roman" w:hAnsi="Times New Roman" w:eastAsia="方正仿宋_GBK"/>
                <w:color w:val="auto"/>
                <w:sz w:val="32"/>
                <w:szCs w:val="32"/>
              </w:rPr>
              <w:t>3个、乡镇志愿消防队</w:t>
            </w:r>
            <w:r>
              <w:rPr>
                <w:rFonts w:hint="eastAsia" w:ascii="Times New Roman" w:hAnsi="Times New Roman" w:eastAsia="方正仿宋_GBK"/>
                <w:color w:val="auto"/>
                <w:sz w:val="32"/>
                <w:szCs w:val="32"/>
                <w:lang w:val="en-US" w:eastAsia="zh-CN"/>
              </w:rPr>
              <w:t>5</w:t>
            </w:r>
            <w:r>
              <w:rPr>
                <w:rFonts w:hint="eastAsia" w:ascii="Times New Roman" w:hAnsi="Times New Roman" w:eastAsia="方正仿宋_GBK"/>
                <w:color w:val="auto"/>
                <w:sz w:val="32"/>
                <w:szCs w:val="32"/>
              </w:rPr>
              <w:t>个）；</w:t>
            </w:r>
          </w:p>
          <w:p>
            <w:pPr>
              <w:keepNext w:val="0"/>
              <w:keepLines w:val="0"/>
              <w:pageBreakBefore w:val="0"/>
              <w:kinsoku/>
              <w:wordWrap/>
              <w:overflowPunct/>
              <w:topLinePunct w:val="0"/>
              <w:autoSpaceDE/>
              <w:autoSpaceDN/>
              <w:bidi w:val="0"/>
              <w:spacing w:after="0" w:line="600" w:lineRule="exact"/>
              <w:ind w:firstLine="640" w:firstLineChars="200"/>
              <w:rPr>
                <w:rFonts w:hint="eastAsia" w:ascii="Times New Roman" w:hAnsi="Times New Roman" w:eastAsia="方正仿宋_GBK"/>
                <w:color w:val="000000"/>
                <w:sz w:val="32"/>
                <w:szCs w:val="32"/>
                <w:lang w:eastAsia="zh-CN"/>
              </w:rPr>
            </w:pPr>
            <w:r>
              <w:rPr>
                <w:rFonts w:hint="eastAsia" w:ascii="Times New Roman" w:hAnsi="Times New Roman" w:eastAsia="方正仿宋_GBK"/>
                <w:color w:val="auto"/>
                <w:sz w:val="32"/>
                <w:szCs w:val="32"/>
              </w:rPr>
              <w:t>招收政府专职消防站队员</w:t>
            </w:r>
            <w:r>
              <w:rPr>
                <w:rFonts w:hint="eastAsia" w:eastAsia="方正仿宋_GBK"/>
                <w:color w:val="auto"/>
                <w:sz w:val="32"/>
                <w:szCs w:val="32"/>
                <w:lang w:val="en-US" w:eastAsia="zh-CN"/>
              </w:rPr>
              <w:t>80</w:t>
            </w:r>
            <w:r>
              <w:rPr>
                <w:rFonts w:hint="eastAsia" w:ascii="Times New Roman" w:hAnsi="Times New Roman" w:eastAsia="方正仿宋_GBK"/>
                <w:color w:val="auto"/>
                <w:sz w:val="32"/>
                <w:szCs w:val="32"/>
              </w:rPr>
              <w:t>人，消防文员</w:t>
            </w:r>
            <w:r>
              <w:rPr>
                <w:rFonts w:hint="eastAsia" w:ascii="Times New Roman" w:hAnsi="Times New Roman" w:eastAsia="方正仿宋_GBK"/>
                <w:color w:val="auto"/>
                <w:sz w:val="32"/>
                <w:szCs w:val="32"/>
                <w:lang w:val="en-US" w:eastAsia="zh-CN"/>
              </w:rPr>
              <w:t>45</w:t>
            </w:r>
            <w:r>
              <w:rPr>
                <w:rFonts w:hint="eastAsia" w:ascii="Times New Roman" w:hAnsi="Times New Roman" w:eastAsia="方正仿宋_GBK"/>
                <w:color w:val="auto"/>
                <w:sz w:val="32"/>
                <w:szCs w:val="32"/>
              </w:rPr>
              <w:t>人，志愿者消防队员</w:t>
            </w:r>
            <w:r>
              <w:rPr>
                <w:rFonts w:hint="eastAsia" w:ascii="Times New Roman" w:hAnsi="Times New Roman" w:eastAsia="方正仿宋_GBK"/>
                <w:color w:val="auto"/>
                <w:sz w:val="32"/>
                <w:szCs w:val="32"/>
                <w:lang w:val="en-US" w:eastAsia="zh-CN"/>
              </w:rPr>
              <w:t>120</w:t>
            </w:r>
            <w:r>
              <w:rPr>
                <w:rFonts w:hint="eastAsia" w:ascii="Times New Roman" w:hAnsi="Times New Roman" w:eastAsia="方正仿宋_GBK"/>
                <w:color w:val="auto"/>
                <w:sz w:val="32"/>
                <w:szCs w:val="32"/>
              </w:rPr>
              <w:t>人；采购各类消防器材配备</w:t>
            </w:r>
            <w:r>
              <w:rPr>
                <w:rFonts w:hint="eastAsia" w:ascii="Times New Roman" w:hAnsi="Times New Roman" w:eastAsia="方正仿宋_GBK"/>
                <w:color w:val="auto"/>
                <w:sz w:val="32"/>
                <w:szCs w:val="32"/>
                <w:lang w:val="en-US" w:eastAsia="zh-CN"/>
              </w:rPr>
              <w:t>5112</w:t>
            </w:r>
            <w:r>
              <w:rPr>
                <w:rFonts w:hint="eastAsia" w:ascii="Times New Roman" w:hAnsi="Times New Roman" w:eastAsia="方正仿宋_GBK"/>
                <w:color w:val="auto"/>
                <w:sz w:val="32"/>
                <w:szCs w:val="32"/>
              </w:rPr>
              <w:t>件（套），配备各类消防灭火剂</w:t>
            </w:r>
            <w:r>
              <w:rPr>
                <w:rFonts w:hint="eastAsia" w:ascii="Times New Roman" w:hAnsi="Times New Roman" w:eastAsia="方正仿宋_GBK"/>
                <w:color w:val="auto"/>
                <w:sz w:val="32"/>
                <w:szCs w:val="32"/>
                <w:lang w:val="en-US" w:eastAsia="zh-CN"/>
              </w:rPr>
              <w:t>100</w:t>
            </w:r>
            <w:r>
              <w:rPr>
                <w:rFonts w:hint="eastAsia" w:ascii="Times New Roman" w:hAnsi="Times New Roman" w:eastAsia="方正仿宋_GBK"/>
                <w:color w:val="auto"/>
                <w:sz w:val="32"/>
                <w:szCs w:val="32"/>
              </w:rPr>
              <w:t>吨。</w:t>
            </w:r>
            <w:r>
              <w:rPr>
                <w:rFonts w:hint="eastAsia" w:ascii="Times New Roman" w:hAnsi="Times New Roman" w:eastAsia="方正仿宋_GBK"/>
                <w:color w:val="auto"/>
                <w:sz w:val="32"/>
                <w:szCs w:val="32"/>
                <w:lang w:eastAsia="zh-CN"/>
              </w:rPr>
              <w:t>购置水罐消防车</w:t>
            </w:r>
            <w:r>
              <w:rPr>
                <w:rFonts w:hint="eastAsia" w:ascii="Times New Roman" w:hAnsi="Times New Roman" w:eastAsia="方正仿宋_GBK"/>
                <w:color w:val="auto"/>
                <w:sz w:val="32"/>
                <w:szCs w:val="32"/>
                <w:lang w:val="en-US" w:eastAsia="zh-CN"/>
              </w:rPr>
              <w:t>7台，压缩空气泡沫车1台，高喷车1台，抢险救援车3台，防化洗消车2台</w:t>
            </w:r>
            <w:r>
              <w:rPr>
                <w:rFonts w:hint="eastAsia" w:eastAsia="方正仿宋_GBK"/>
                <w:color w:val="auto"/>
                <w:sz w:val="32"/>
                <w:szCs w:val="32"/>
                <w:lang w:val="en-US" w:eastAsia="zh-CN"/>
              </w:rPr>
              <w:t>。</w:t>
            </w:r>
          </w:p>
        </w:tc>
      </w:tr>
    </w:tbl>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bookmarkStart w:id="48" w:name="_Toc32352384"/>
      <w:bookmarkStart w:id="49" w:name="_Toc33880894"/>
      <w:bookmarkStart w:id="50" w:name="_Toc32352162"/>
      <w:bookmarkStart w:id="51" w:name="_Toc32352586"/>
      <w:bookmarkStart w:id="52" w:name="_Toc32352158"/>
      <w:bookmarkStart w:id="53" w:name="_Toc32352380"/>
      <w:bookmarkStart w:id="54" w:name="_Toc33880890"/>
      <w:bookmarkStart w:id="55" w:name="_Toc32352582"/>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rPr>
      </w:pPr>
      <w:bookmarkStart w:id="56" w:name="_Toc7661"/>
      <w:r>
        <w:rPr>
          <w:rFonts w:hint="eastAsia" w:ascii="方正楷体_GBK" w:hAnsi="方正楷体_GBK" w:eastAsia="方正楷体_GBK" w:cs="方正楷体_GBK"/>
          <w:b/>
          <w:bCs/>
          <w:spacing w:val="-20"/>
          <w:sz w:val="32"/>
          <w:szCs w:val="32"/>
          <w:lang w:eastAsia="zh-CN"/>
        </w:rPr>
        <w:t>七、</w:t>
      </w:r>
      <w:r>
        <w:rPr>
          <w:rFonts w:hint="eastAsia" w:ascii="方正楷体_GBK" w:hAnsi="方正楷体_GBK" w:eastAsia="方正楷体_GBK" w:cs="方正楷体_GBK"/>
          <w:b/>
          <w:bCs/>
          <w:spacing w:val="-20"/>
          <w:sz w:val="32"/>
          <w:szCs w:val="32"/>
        </w:rPr>
        <w:t>深化消防信息化建设</w:t>
      </w:r>
      <w:bookmarkEnd w:id="56"/>
    </w:p>
    <w:bookmarkEnd w:id="48"/>
    <w:bookmarkEnd w:id="49"/>
    <w:bookmarkEnd w:id="50"/>
    <w:bookmarkEnd w:id="51"/>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57" w:name="_Toc31419"/>
      <w:r>
        <w:rPr>
          <w:rFonts w:hint="eastAsia" w:ascii="方正仿宋_GBK" w:hAnsi="方正仿宋_GBK" w:eastAsia="方正仿宋_GBK" w:cs="方正仿宋_GBK"/>
          <w:b/>
          <w:bCs/>
          <w:spacing w:val="-20"/>
          <w:sz w:val="32"/>
          <w:szCs w:val="32"/>
          <w:lang w:val="en-US" w:eastAsia="zh-CN"/>
        </w:rPr>
        <w:t>（一）打造新型指挥体系</w:t>
      </w:r>
      <w:bookmarkEnd w:id="57"/>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2021年全面升级现有消防指挥中心，接入政府信息资源，健全工作机制，规范操作流程，打造智能指挥中心。2021年对现有消防接处警系统功能进行智能化改造，运用语音识别、定位导航等技术，智能识别灾害类型、灾害场所、被困人员、响应等级等作战要素，通过对历史灾情的关联、学习和迭代，一键生成调度方案，打造智能接处警系统。2022年以前，全面完成智能指挥系统建设，在实战指挥系统基础上，深化“一张图”大数据建设应用，基于地图整合数字化预案、人装战力图谱等作战辅助信息，打造新型指挥系统。</w:t>
      </w:r>
    </w:p>
    <w:bookmarkEnd w:id="52"/>
    <w:bookmarkEnd w:id="53"/>
    <w:bookmarkEnd w:id="54"/>
    <w:bookmarkEnd w:id="55"/>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58" w:name="_Toc33880897"/>
      <w:bookmarkStart w:id="59" w:name="_Toc32352387"/>
      <w:bookmarkStart w:id="60" w:name="_Toc31967"/>
      <w:bookmarkStart w:id="61" w:name="_Toc32352589"/>
      <w:bookmarkStart w:id="62" w:name="_Toc32352165"/>
      <w:bookmarkStart w:id="63" w:name="_Toc32352585"/>
      <w:bookmarkStart w:id="64" w:name="_Toc33880893"/>
      <w:bookmarkStart w:id="65" w:name="_Toc32352161"/>
      <w:bookmarkStart w:id="66" w:name="_Toc32352383"/>
      <w:bookmarkStart w:id="67" w:name="_Toc32352163"/>
      <w:bookmarkStart w:id="68" w:name="_Toc32352587"/>
      <w:bookmarkStart w:id="69" w:name="_Toc32352385"/>
      <w:r>
        <w:rPr>
          <w:rFonts w:hint="eastAsia" w:ascii="方正仿宋_GBK" w:hAnsi="方正仿宋_GBK" w:eastAsia="方正仿宋_GBK" w:cs="方正仿宋_GBK"/>
          <w:b/>
          <w:bCs/>
          <w:spacing w:val="-20"/>
          <w:sz w:val="32"/>
          <w:szCs w:val="32"/>
          <w:lang w:val="en-US" w:eastAsia="zh-CN"/>
        </w:rPr>
        <w:t>（二）建强应急通信体系</w:t>
      </w:r>
      <w:bookmarkEnd w:id="58"/>
      <w:bookmarkEnd w:id="59"/>
      <w:bookmarkEnd w:id="60"/>
      <w:bookmarkEnd w:id="61"/>
      <w:bookmarkEnd w:id="62"/>
    </w:p>
    <w:bookmarkEnd w:id="63"/>
    <w:bookmarkEnd w:id="64"/>
    <w:bookmarkEnd w:id="65"/>
    <w:bookmarkEnd w:id="66"/>
    <w:bookmarkEnd w:id="67"/>
    <w:bookmarkEnd w:id="68"/>
    <w:bookmarkEnd w:id="69"/>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加强通信装备和网络建设。2022年底，按照标准完善应急指挥信息网建设。2023年，购置10套超轻型卫星便携站。2024年以前，根据5G技术发展情况，适合旗县配强配齐5G双模单兵、5G音视频布控球；购置1架多功能无人机，购置9架双光无人机；购置1辆动中通卫星通信车，1辆作战指挥车。</w:t>
      </w:r>
    </w:p>
    <w:p>
      <w:pPr>
        <w:keepNext w:val="0"/>
        <w:keepLines w:val="0"/>
        <w:pageBreakBefore w:val="0"/>
        <w:kinsoku/>
        <w:wordWrap/>
        <w:overflowPunct/>
        <w:topLinePunct w:val="0"/>
        <w:autoSpaceDE/>
        <w:autoSpaceDN/>
        <w:bidi w:val="0"/>
        <w:adjustRightInd w:val="0"/>
        <w:snapToGrid w:val="0"/>
        <w:spacing w:line="600" w:lineRule="exact"/>
        <w:ind w:firstLine="562" w:firstLineChars="200"/>
        <w:outlineLvl w:val="2"/>
        <w:rPr>
          <w:rFonts w:hint="eastAsia" w:ascii="方正仿宋_GBK" w:hAnsi="方正仿宋_GBK" w:eastAsia="方正仿宋_GBK" w:cs="方正仿宋_GBK"/>
          <w:b/>
          <w:bCs/>
          <w:spacing w:val="-20"/>
          <w:sz w:val="32"/>
          <w:szCs w:val="32"/>
          <w:lang w:val="en-US" w:eastAsia="zh-CN"/>
        </w:rPr>
      </w:pPr>
      <w:bookmarkStart w:id="70" w:name="_Toc10424"/>
      <w:r>
        <w:rPr>
          <w:rFonts w:hint="eastAsia" w:ascii="方正仿宋_GBK" w:hAnsi="方正仿宋_GBK" w:eastAsia="方正仿宋_GBK" w:cs="方正仿宋_GBK"/>
          <w:b/>
          <w:bCs/>
          <w:spacing w:val="-20"/>
          <w:sz w:val="32"/>
          <w:szCs w:val="32"/>
          <w:lang w:val="en-US" w:eastAsia="zh-CN"/>
        </w:rPr>
        <w:t>（三）深化“智慧消防”建设</w:t>
      </w:r>
      <w:bookmarkEnd w:id="70"/>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依托政府“智慧城市”建设，将消防数据平台融入“智慧城市”建设。2023年建设火灾监测预警预报系统，构建风险评估指标体系。2025年以前完成消防数据应用平台，研发消防移动监管APP，实现建筑消防设施、危化品企业远程火灾动态监测和跟踪管控，为消防安全高效监管提供强有力的信息技术支撑。</w:t>
      </w: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eastAsia="zh-CN"/>
        </w:rPr>
      </w:pPr>
    </w:p>
    <w:p>
      <w:pPr>
        <w:keepNext w:val="0"/>
        <w:keepLines w:val="0"/>
        <w:pageBreakBefore w:val="0"/>
        <w:kinsoku/>
        <w:wordWrap/>
        <w:overflowPunct/>
        <w:topLinePunct w:val="0"/>
        <w:autoSpaceDE/>
        <w:autoSpaceDN/>
        <w:bidi w:val="0"/>
        <w:adjustRightInd w:val="0"/>
        <w:snapToGrid w:val="0"/>
        <w:spacing w:line="600" w:lineRule="exact"/>
        <w:jc w:val="center"/>
        <w:outlineLvl w:val="1"/>
        <w:rPr>
          <w:rFonts w:hint="eastAsia" w:ascii="方正楷体_GBK" w:hAnsi="方正楷体_GBK" w:eastAsia="方正楷体_GBK" w:cs="方正楷体_GBK"/>
          <w:b/>
          <w:bCs/>
          <w:spacing w:val="-20"/>
          <w:sz w:val="32"/>
          <w:szCs w:val="32"/>
          <w:lang w:val="en-US" w:eastAsia="zh-CN"/>
        </w:rPr>
      </w:pPr>
      <w:bookmarkStart w:id="71" w:name="_Toc23183"/>
      <w:r>
        <w:rPr>
          <w:rFonts w:hint="eastAsia" w:ascii="方正楷体_GBK" w:hAnsi="方正楷体_GBK" w:eastAsia="方正楷体_GBK" w:cs="方正楷体_GBK"/>
          <w:b/>
          <w:bCs/>
          <w:spacing w:val="-20"/>
          <w:sz w:val="32"/>
          <w:szCs w:val="32"/>
          <w:lang w:eastAsia="zh-CN"/>
        </w:rPr>
        <w:t>八</w:t>
      </w:r>
      <w:r>
        <w:rPr>
          <w:rFonts w:hint="eastAsia" w:ascii="方正楷体_GBK" w:hAnsi="方正楷体_GBK" w:eastAsia="方正楷体_GBK" w:cs="方正楷体_GBK"/>
          <w:b/>
          <w:bCs/>
          <w:spacing w:val="-20"/>
          <w:sz w:val="32"/>
          <w:szCs w:val="32"/>
          <w:lang w:val="en-US" w:eastAsia="zh-CN"/>
        </w:rPr>
        <w:t>、</w:t>
      </w:r>
      <w:r>
        <w:rPr>
          <w:rFonts w:hint="eastAsia" w:ascii="方正楷体_GBK" w:hAnsi="方正楷体_GBK" w:eastAsia="方正楷体_GBK" w:cs="方正楷体_GBK"/>
          <w:b/>
          <w:bCs/>
          <w:spacing w:val="-20"/>
          <w:sz w:val="32"/>
          <w:szCs w:val="32"/>
        </w:rPr>
        <w:t>加强消防职业保障</w:t>
      </w:r>
      <w:bookmarkEnd w:id="71"/>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p>
    <w:p>
      <w:pPr>
        <w:keepNext w:val="0"/>
        <w:keepLines w:val="0"/>
        <w:pageBreakBefore w:val="0"/>
        <w:kinsoku/>
        <w:wordWrap/>
        <w:overflowPunct/>
        <w:topLinePunct w:val="0"/>
        <w:autoSpaceDE/>
        <w:autoSpaceDN/>
        <w:bidi w:val="0"/>
        <w:spacing w:line="600" w:lineRule="exact"/>
        <w:ind w:firstLine="560" w:firstLineChars="200"/>
        <w:rPr>
          <w:rFonts w:hint="eastAsia" w:ascii="方正黑体_GBK" w:hAnsi="方正黑体_GBK" w:eastAsia="方正黑体_GBK" w:cs="方正黑体_GBK"/>
          <w:b w:val="0"/>
          <w:bCs w:val="0"/>
          <w:spacing w:val="-20"/>
          <w:sz w:val="32"/>
          <w:szCs w:val="32"/>
        </w:rPr>
      </w:pPr>
      <w:r>
        <w:rPr>
          <w:rFonts w:hint="eastAsia" w:ascii="方正仿宋_GBK" w:hAnsi="方正仿宋_GBK" w:eastAsia="方正仿宋_GBK" w:cs="方正仿宋_GBK"/>
          <w:color w:val="auto"/>
          <w:spacing w:val="-20"/>
          <w:sz w:val="32"/>
          <w:szCs w:val="32"/>
          <w:lang w:val="en-US" w:eastAsia="zh-CN"/>
        </w:rPr>
        <w:t>建立消防高危行业专项保障制度，保证消防员待遇与工作任务相适应。大力落实国家《消防员职业健康标准》（GBZ221－2009）。建立消防指战员心理疾病预防与干预机制，加强心理健康教育。消防救援人员参加社会保险，享受相应的社会保险待遇。全市消防救援人员人身意外伤害险按每人每年不低于100万元保额标准进行投保，保费由属地财政予以保障。对消防救援队伍子女教育优待、配偶随迁随调予以保障。将消防救援队伍绩效机制纳入党委政府和群团组织表彰奖励范围。将符合当地公共租赁住房保障条件的消防救援人员纳入地方住房保障范畴，享受政府公共租赁住房或住房补贴等各类保障政策，在同等条件下予以优先分配。将政府专职消防员（消防文员）参照行政编制消防员待遇，同等享受出行、就医、参观景区等优先和免费政策，专职消防员（消防文员）一并纳入地方表彰奖励范围。</w:t>
      </w:r>
    </w:p>
    <w:p>
      <w:pPr>
        <w:keepNext w:val="0"/>
        <w:keepLines w:val="0"/>
        <w:pageBreakBefore w:val="0"/>
        <w:kinsoku/>
        <w:wordWrap/>
        <w:overflowPunct/>
        <w:topLinePunct w:val="0"/>
        <w:autoSpaceDE/>
        <w:autoSpaceDN/>
        <w:bidi w:val="0"/>
        <w:adjustRightInd w:val="0"/>
        <w:snapToGrid w:val="0"/>
        <w:spacing w:line="600" w:lineRule="exact"/>
        <w:jc w:val="center"/>
        <w:outlineLvl w:val="0"/>
        <w:rPr>
          <w:rFonts w:ascii="方正黑体_GBK" w:hAnsi="方正黑体_GBK" w:eastAsia="方正黑体_GBK" w:cs="方正黑体_GBK"/>
          <w:b w:val="0"/>
          <w:bCs w:val="0"/>
          <w:spacing w:val="-20"/>
          <w:sz w:val="32"/>
          <w:szCs w:val="32"/>
        </w:rPr>
      </w:pPr>
      <w:bookmarkStart w:id="72" w:name="_Toc89"/>
      <w:r>
        <w:rPr>
          <w:rFonts w:hint="eastAsia" w:ascii="方正黑体_GBK" w:hAnsi="方正黑体_GBK" w:eastAsia="方正黑体_GBK" w:cs="方正黑体_GBK"/>
          <w:b w:val="0"/>
          <w:bCs w:val="0"/>
          <w:spacing w:val="-20"/>
          <w:sz w:val="32"/>
          <w:szCs w:val="32"/>
        </w:rPr>
        <w:t>第四章 保障措施</w:t>
      </w:r>
      <w:bookmarkEnd w:id="72"/>
    </w:p>
    <w:p>
      <w:pPr>
        <w:keepNext w:val="0"/>
        <w:keepLines w:val="0"/>
        <w:pageBreakBefore w:val="0"/>
        <w:kinsoku/>
        <w:wordWrap/>
        <w:overflowPunct/>
        <w:topLinePunct w:val="0"/>
        <w:autoSpaceDE/>
        <w:autoSpaceDN/>
        <w:bidi w:val="0"/>
        <w:spacing w:after="0" w:line="600" w:lineRule="exact"/>
        <w:ind w:firstLine="642" w:firstLineChars="200"/>
        <w:jc w:val="both"/>
        <w:rPr>
          <w:rStyle w:val="21"/>
          <w:rFonts w:hint="eastAsia" w:ascii="Times New Roman" w:hAnsi="Times New Roman" w:eastAsia="方正楷体_GBK"/>
          <w:b/>
          <w:kern w:val="2"/>
          <w:sz w:val="32"/>
          <w:szCs w:val="32"/>
          <w:lang w:eastAsia="zh-CN"/>
        </w:rPr>
      </w:pPr>
    </w:p>
    <w:p>
      <w:pPr>
        <w:keepNext w:val="0"/>
        <w:keepLines w:val="0"/>
        <w:pageBreakBefore w:val="0"/>
        <w:kinsoku/>
        <w:wordWrap/>
        <w:overflowPunct/>
        <w:topLinePunct w:val="0"/>
        <w:autoSpaceDE/>
        <w:autoSpaceDN/>
        <w:bidi w:val="0"/>
        <w:spacing w:after="0" w:line="600" w:lineRule="exact"/>
        <w:ind w:firstLine="642" w:firstLineChars="200"/>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一</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强化组织领导</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将巴彦淖尔市“十四五”消防救援事业规划实施工作，纳入地方党委政府重要议事日程，统筹推动各项任务目标的分解落实，制定实施方案和进度表，明确责任部门、工作要求和完成时限，建立定期会商协调工作机制。</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二</w:t>
      </w:r>
      <w:r>
        <w:rPr>
          <w:rStyle w:val="21"/>
          <w:rFonts w:hint="eastAsia" w:ascii="Times New Roman" w:hAnsi="Times New Roman" w:eastAsia="方正楷体_GBK"/>
          <w:b/>
          <w:kern w:val="2"/>
          <w:sz w:val="32"/>
          <w:szCs w:val="32"/>
          <w:lang w:val="en-US" w:eastAsia="zh-CN"/>
        </w:rPr>
        <w:t>、</w:t>
      </w:r>
      <w:r>
        <w:rPr>
          <w:rStyle w:val="21"/>
          <w:rFonts w:ascii="Times New Roman" w:hAnsi="Times New Roman" w:eastAsia="方正楷体_GBK"/>
          <w:b/>
          <w:kern w:val="2"/>
          <w:sz w:val="32"/>
          <w:szCs w:val="32"/>
        </w:rPr>
        <w:t>强化统筹协调</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发改、自然资源、财政、农牧、住房城乡建设等部门要细化落实主要任务，根据工作职能，在政策制定、用地规划、项目安排及体制创新等方面全力支持，及时协调解决规划实施中的问题，确保任务目标落到实处。</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三、</w:t>
      </w:r>
      <w:r>
        <w:rPr>
          <w:rStyle w:val="21"/>
          <w:rFonts w:ascii="Times New Roman" w:hAnsi="Times New Roman" w:eastAsia="方正楷体_GBK"/>
          <w:b/>
          <w:kern w:val="2"/>
          <w:sz w:val="32"/>
          <w:szCs w:val="32"/>
        </w:rPr>
        <w:t>强化经费保障</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pPr>
      <w:r>
        <w:rPr>
          <w:rFonts w:hint="eastAsia" w:ascii="方正仿宋_GBK" w:hAnsi="方正仿宋_GBK" w:eastAsia="方正仿宋_GBK" w:cs="方正仿宋_GBK"/>
          <w:color w:val="auto"/>
          <w:spacing w:val="-20"/>
          <w:sz w:val="32"/>
          <w:szCs w:val="32"/>
          <w:lang w:val="en-US" w:eastAsia="zh-CN"/>
        </w:rPr>
        <w:t>进一步完善地方消防经费保障机制，贯彻落实财政部、应急管理部《国家综合性消防救援队伍经费管理暂行规定》（财建〔2020〕38号）及自治区相关规定，确保消防经费投入与当地经济社会发展水平相适应，要加大对旗县区级财力困难地区的消防救援站建设支持力度。</w:t>
      </w:r>
    </w:p>
    <w:p>
      <w:pPr>
        <w:keepNext w:val="0"/>
        <w:keepLines w:val="0"/>
        <w:pageBreakBefore w:val="0"/>
        <w:kinsoku/>
        <w:wordWrap/>
        <w:overflowPunct/>
        <w:topLinePunct w:val="0"/>
        <w:autoSpaceDE/>
        <w:autoSpaceDN/>
        <w:bidi w:val="0"/>
        <w:spacing w:after="0" w:line="600" w:lineRule="exact"/>
        <w:ind w:firstLine="641"/>
        <w:jc w:val="both"/>
        <w:rPr>
          <w:rStyle w:val="21"/>
          <w:rFonts w:ascii="Times New Roman" w:hAnsi="Times New Roman" w:eastAsia="方正楷体_GBK"/>
          <w:b/>
          <w:kern w:val="2"/>
          <w:sz w:val="32"/>
          <w:szCs w:val="32"/>
        </w:rPr>
      </w:pPr>
      <w:r>
        <w:rPr>
          <w:rStyle w:val="21"/>
          <w:rFonts w:hint="eastAsia" w:ascii="Times New Roman" w:hAnsi="Times New Roman" w:eastAsia="方正楷体_GBK"/>
          <w:b/>
          <w:kern w:val="2"/>
          <w:sz w:val="32"/>
          <w:szCs w:val="32"/>
          <w:lang w:eastAsia="zh-CN"/>
        </w:rPr>
        <w:t>四、</w:t>
      </w:r>
      <w:r>
        <w:rPr>
          <w:rStyle w:val="21"/>
          <w:rFonts w:ascii="Times New Roman" w:hAnsi="Times New Roman" w:eastAsia="方正楷体_GBK"/>
          <w:b/>
          <w:kern w:val="2"/>
          <w:sz w:val="32"/>
          <w:szCs w:val="32"/>
        </w:rPr>
        <w:t>强化督导考评</w:t>
      </w:r>
    </w:p>
    <w:p>
      <w:pPr>
        <w:keepNext w:val="0"/>
        <w:keepLines w:val="0"/>
        <w:pageBreakBefore w:val="0"/>
        <w:kinsoku/>
        <w:wordWrap/>
        <w:overflowPunct/>
        <w:topLinePunct w:val="0"/>
        <w:autoSpaceDE/>
        <w:autoSpaceDN/>
        <w:bidi w:val="0"/>
        <w:spacing w:line="600" w:lineRule="exact"/>
        <w:ind w:firstLine="560" w:firstLineChars="200"/>
        <w:rPr>
          <w:rFonts w:hint="eastAsia" w:ascii="方正仿宋_GBK" w:hAnsi="方正仿宋_GBK" w:eastAsia="方正仿宋_GBK" w:cs="方正仿宋_GBK"/>
          <w:color w:val="auto"/>
          <w:spacing w:val="-20"/>
          <w:sz w:val="32"/>
          <w:szCs w:val="32"/>
          <w:lang w:val="en-US" w:eastAsia="zh-CN"/>
        </w:rPr>
        <w:sectPr>
          <w:footerReference r:id="rId4" w:type="default"/>
          <w:pgSz w:w="11906" w:h="16838"/>
          <w:pgMar w:top="1587" w:right="1474" w:bottom="1587" w:left="147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方正仿宋_GBK" w:hAnsi="方正仿宋_GBK" w:eastAsia="方正仿宋_GBK" w:cs="方正仿宋_GBK"/>
          <w:color w:val="auto"/>
          <w:spacing w:val="-20"/>
          <w:sz w:val="32"/>
          <w:szCs w:val="32"/>
          <w:lang w:val="en-US" w:eastAsia="zh-CN"/>
        </w:rPr>
        <w:t>建立年度检查考核机制，将规划推进落实情况纳入政务督查重要内容，强化规划实施进度的动态监管和调查分析，对发现的问题及时研究解决，市政府将对规划执行情况进行中期评估和末期考核，评估考核结果作为评价各级政府和各部门绩效的重要依据。</w:t>
      </w:r>
    </w:p>
    <w:p>
      <w:pPr>
        <w:outlineLvl w:val="0"/>
        <w:rPr>
          <w:rFonts w:hint="eastAsia" w:ascii="仿宋_GB2312" w:hAnsi="仿宋_GB2312" w:eastAsia="仿宋_GB2312" w:cs="仿宋_GB2312"/>
          <w:b/>
          <w:bCs/>
          <w:snapToGrid w:val="0"/>
          <w:kern w:val="0"/>
          <w:sz w:val="32"/>
          <w:szCs w:val="22"/>
          <w:lang w:eastAsia="zh-CN"/>
        </w:rPr>
      </w:pPr>
      <w:bookmarkStart w:id="73" w:name="_Toc2749"/>
      <w:r>
        <w:rPr>
          <w:rFonts w:hint="eastAsia" w:ascii="仿宋_GB2312" w:hAnsi="仿宋_GB2312" w:eastAsia="仿宋_GB2312" w:cs="仿宋_GB2312"/>
          <w:b/>
          <w:bCs/>
          <w:snapToGrid w:val="0"/>
          <w:kern w:val="0"/>
          <w:sz w:val="32"/>
          <w:szCs w:val="22"/>
          <w:lang w:eastAsia="zh-CN"/>
        </w:rPr>
        <w:t>附表：</w:t>
      </w:r>
      <w:bookmarkEnd w:id="73"/>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4" w:name="_Toc12094"/>
      <w:r>
        <w:rPr>
          <w:rFonts w:hint="eastAsia" w:ascii="仿宋_GB2312" w:hAnsi="仿宋_GB2312" w:eastAsia="仿宋_GB2312" w:cs="仿宋_GB2312"/>
          <w:snapToGrid w:val="0"/>
          <w:kern w:val="0"/>
          <w:sz w:val="32"/>
          <w:szCs w:val="22"/>
          <w:lang w:val="en-US" w:eastAsia="zh-CN"/>
        </w:rPr>
        <w:t>“十四五”期间消防站建设规划表</w:t>
      </w:r>
      <w:bookmarkEnd w:id="74"/>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5" w:name="_Toc4580"/>
      <w:r>
        <w:rPr>
          <w:rFonts w:hint="eastAsia" w:ascii="仿宋_GB2312" w:hAnsi="仿宋_GB2312" w:eastAsia="仿宋_GB2312" w:cs="仿宋_GB2312"/>
          <w:snapToGrid w:val="0"/>
          <w:kern w:val="0"/>
          <w:sz w:val="32"/>
          <w:szCs w:val="22"/>
          <w:lang w:val="en-US" w:eastAsia="zh-CN"/>
        </w:rPr>
        <w:t>“十四五”期间消防救援车辆装备建设规划表</w:t>
      </w:r>
      <w:bookmarkEnd w:id="75"/>
    </w:p>
    <w:p>
      <w:pPr>
        <w:numPr>
          <w:ilvl w:val="0"/>
          <w:numId w:val="2"/>
        </w:numPr>
        <w:ind w:firstLine="470" w:firstLineChars="147"/>
        <w:outlineLvl w:val="0"/>
        <w:rPr>
          <w:rFonts w:hint="eastAsia" w:ascii="仿宋_GB2312" w:hAnsi="仿宋_GB2312" w:eastAsia="仿宋_GB2312" w:cs="仿宋_GB2312"/>
          <w:snapToGrid w:val="0"/>
          <w:kern w:val="0"/>
          <w:sz w:val="32"/>
          <w:szCs w:val="22"/>
          <w:lang w:val="en-US" w:eastAsia="zh-CN"/>
        </w:rPr>
      </w:pPr>
      <w:bookmarkStart w:id="76" w:name="_Toc26598"/>
      <w:r>
        <w:rPr>
          <w:rFonts w:hint="eastAsia" w:ascii="仿宋_GB2312" w:hAnsi="仿宋_GB2312" w:eastAsia="仿宋_GB2312" w:cs="仿宋_GB2312"/>
          <w:snapToGrid w:val="0"/>
          <w:kern w:val="0"/>
          <w:sz w:val="32"/>
          <w:szCs w:val="22"/>
          <w:lang w:val="en-US" w:eastAsia="zh-CN"/>
        </w:rPr>
        <w:t>“十四五”期间消防救援队伍器材装备配备规划表</w:t>
      </w:r>
      <w:bookmarkEnd w:id="76"/>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7" w:name="_Toc24750"/>
      <w:r>
        <w:rPr>
          <w:rFonts w:hint="eastAsia" w:ascii="仿宋_GB2312" w:hAnsi="仿宋_GB2312" w:eastAsia="仿宋_GB2312" w:cs="仿宋_GB2312"/>
          <w:snapToGrid w:val="0"/>
          <w:kern w:val="0"/>
          <w:sz w:val="32"/>
          <w:szCs w:val="22"/>
          <w:lang w:val="en-US" w:eastAsia="zh-CN"/>
        </w:rPr>
        <w:t>“十四五”期间市政消火栓建设规划表</w:t>
      </w:r>
      <w:bookmarkEnd w:id="77"/>
      <w:r>
        <w:rPr>
          <w:rFonts w:hint="eastAsia" w:ascii="仿宋_GB2312" w:hAnsi="仿宋_GB2312" w:eastAsia="仿宋_GB2312" w:cs="仿宋_GB2312"/>
          <w:snapToGrid w:val="0"/>
          <w:kern w:val="0"/>
          <w:sz w:val="32"/>
          <w:szCs w:val="22"/>
          <w:lang w:val="en-US" w:eastAsia="zh-CN"/>
        </w:rPr>
        <w:t xml:space="preserve"> </w:t>
      </w:r>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8" w:name="_Toc26583"/>
      <w:r>
        <w:rPr>
          <w:rFonts w:hint="eastAsia" w:ascii="仿宋_GB2312" w:hAnsi="仿宋_GB2312" w:eastAsia="仿宋_GB2312" w:cs="仿宋_GB2312"/>
          <w:snapToGrid w:val="0"/>
          <w:kern w:val="0"/>
          <w:sz w:val="32"/>
          <w:szCs w:val="22"/>
          <w:lang w:val="en-US" w:eastAsia="zh-CN"/>
        </w:rPr>
        <w:t>“十四五”规划新建农村消防站统计表</w:t>
      </w:r>
      <w:bookmarkEnd w:id="78"/>
    </w:p>
    <w:p>
      <w:pPr>
        <w:numPr>
          <w:ilvl w:val="0"/>
          <w:numId w:val="2"/>
        </w:numPr>
        <w:ind w:left="0" w:leftChars="0" w:firstLine="470" w:firstLineChars="147"/>
        <w:outlineLvl w:val="0"/>
        <w:rPr>
          <w:rFonts w:hint="eastAsia" w:ascii="仿宋_GB2312" w:hAnsi="仿宋_GB2312" w:eastAsia="仿宋_GB2312" w:cs="仿宋_GB2312"/>
          <w:snapToGrid w:val="0"/>
          <w:kern w:val="0"/>
          <w:sz w:val="32"/>
          <w:szCs w:val="22"/>
          <w:lang w:val="en-US" w:eastAsia="zh-CN"/>
        </w:rPr>
      </w:pPr>
      <w:bookmarkStart w:id="79" w:name="_Toc6154"/>
      <w:r>
        <w:rPr>
          <w:rFonts w:hint="eastAsia" w:ascii="仿宋_GB2312" w:hAnsi="仿宋_GB2312" w:eastAsia="仿宋_GB2312" w:cs="仿宋_GB2312"/>
          <w:snapToGrid w:val="0"/>
          <w:kern w:val="0"/>
          <w:sz w:val="32"/>
          <w:szCs w:val="22"/>
          <w:lang w:val="en-US" w:eastAsia="zh-CN"/>
        </w:rPr>
        <w:t>“十四五”规划新建城市政府专职消防队统计表</w:t>
      </w:r>
      <w:bookmarkEnd w:id="79"/>
    </w:p>
    <w:p>
      <w:pPr>
        <w:numPr>
          <w:ilvl w:val="0"/>
          <w:numId w:val="2"/>
        </w:numPr>
        <w:ind w:left="0" w:leftChars="0" w:firstLine="470" w:firstLineChars="147"/>
        <w:outlineLvl w:val="0"/>
        <w:rPr>
          <w:rFonts w:hint="default" w:ascii="仿宋_GB2312" w:hAnsi="仿宋_GB2312" w:eastAsia="仿宋_GB2312" w:cs="仿宋_GB2312"/>
          <w:snapToGrid w:val="0"/>
          <w:kern w:val="0"/>
          <w:sz w:val="32"/>
          <w:szCs w:val="22"/>
          <w:lang w:val="en-US" w:eastAsia="zh-CN"/>
        </w:rPr>
      </w:pPr>
      <w:bookmarkStart w:id="80" w:name="_Toc10201"/>
      <w:r>
        <w:rPr>
          <w:rFonts w:hint="eastAsia" w:ascii="仿宋_GB2312" w:hAnsi="仿宋_GB2312" w:eastAsia="仿宋_GB2312" w:cs="仿宋_GB2312"/>
          <w:snapToGrid w:val="0"/>
          <w:kern w:val="0"/>
          <w:sz w:val="32"/>
          <w:szCs w:val="22"/>
          <w:lang w:val="en-US" w:eastAsia="zh-CN"/>
        </w:rPr>
        <w:t>“十四五”期间政府专职队车辆装备建设规划表</w:t>
      </w:r>
      <w:bookmarkEnd w:id="80"/>
    </w:p>
    <w:p>
      <w:pPr>
        <w:rPr>
          <w:rFonts w:hint="eastAsia" w:ascii="仿宋_GB2312" w:hAnsi="仿宋_GB2312" w:eastAsia="仿宋_GB2312" w:cs="仿宋_GB2312"/>
          <w:snapToGrid w:val="0"/>
          <w:kern w:val="0"/>
          <w:sz w:val="32"/>
        </w:rPr>
        <w:sectPr>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仿宋_GB2312" w:eastAsia="仿宋_GB2312" w:cs="仿宋_GB2312"/>
          <w:snapToGrid w:val="0"/>
          <w:kern w:val="0"/>
          <w:sz w:val="32"/>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733"/>
        <w:gridCol w:w="1723"/>
        <w:gridCol w:w="2298"/>
        <w:gridCol w:w="1060"/>
        <w:gridCol w:w="750"/>
        <w:gridCol w:w="1290"/>
        <w:gridCol w:w="930"/>
        <w:gridCol w:w="821"/>
        <w:gridCol w:w="824"/>
        <w:gridCol w:w="485"/>
        <w:gridCol w:w="609"/>
        <w:gridCol w:w="2465"/>
      </w:tblGrid>
      <w:tr>
        <w:tblPrEx>
          <w:tblCellMar>
            <w:top w:w="0" w:type="dxa"/>
            <w:left w:w="0" w:type="dxa"/>
            <w:bottom w:w="0" w:type="dxa"/>
            <w:right w:w="0" w:type="dxa"/>
          </w:tblCellMar>
        </w:tblPrEx>
        <w:trPr>
          <w:trHeight w:val="677" w:hRule="atLeast"/>
        </w:trPr>
        <w:tc>
          <w:tcPr>
            <w:tcW w:w="0" w:type="auto"/>
            <w:gridSpan w:val="1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b/>
                <w:i w:val="0"/>
                <w:color w:val="000000"/>
                <w:kern w:val="0"/>
                <w:sz w:val="32"/>
                <w:szCs w:val="32"/>
                <w:u w:val="none"/>
                <w:lang w:val="en-US" w:eastAsia="zh-CN" w:bidi="ar"/>
              </w:rPr>
              <w:t>附件1： 十四五期间国家综合性消防救援队站建设任务表</w:t>
            </w:r>
          </w:p>
        </w:tc>
      </w:tr>
      <w:tr>
        <w:tblPrEx>
          <w:tblCellMar>
            <w:top w:w="0" w:type="dxa"/>
            <w:left w:w="0" w:type="dxa"/>
            <w:bottom w:w="0" w:type="dxa"/>
            <w:right w:w="0" w:type="dxa"/>
          </w:tblCellMar>
        </w:tblPrEx>
        <w:trPr>
          <w:trHeight w:val="35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行政区          </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消防站全称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地址</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分类</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站房建设</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人员实力（人）</w:t>
            </w:r>
          </w:p>
        </w:tc>
      </w:tr>
      <w:tr>
        <w:tblPrEx>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14" w:type="dxa"/>
            <w:gridSpan w:val="5"/>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18"/>
                <w:szCs w:val="18"/>
                <w:u w:val="none"/>
              </w:rPr>
            </w:pPr>
            <w:r>
              <w:rPr>
                <w:rFonts w:hint="eastAsia" w:ascii="宋体" w:hAnsi="宋体" w:eastAsia="宋体" w:cs="宋体"/>
                <w:i w:val="0"/>
                <w:color w:val="000000"/>
                <w:kern w:val="0"/>
                <w:sz w:val="18"/>
                <w:szCs w:val="18"/>
                <w:u w:val="none"/>
                <w:lang w:val="en-US" w:eastAsia="zh-CN" w:bidi="ar"/>
              </w:rPr>
              <w:t>房屋建筑</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tblPrEx>
          <w:shd w:val="clear" w:color="auto" w:fill="auto"/>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l2br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建造形式</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建筑层数（层）</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占地面积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建筑面积</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（平方米）</w:t>
            </w:r>
          </w:p>
        </w:tc>
        <w:tc>
          <w:tcPr>
            <w:tcW w:w="823"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建设</w:t>
            </w:r>
            <w:r>
              <w:rPr>
                <w:rFonts w:hint="eastAsia" w:ascii="宋体" w:hAnsi="宋体" w:eastAsia="宋体" w:cs="宋体"/>
                <w:i w:val="0"/>
                <w:color w:val="auto"/>
                <w:kern w:val="0"/>
                <w:sz w:val="18"/>
                <w:szCs w:val="18"/>
                <w:u w:val="none"/>
                <w:lang w:val="en-US" w:eastAsia="zh-CN" w:bidi="ar"/>
              </w:rPr>
              <w:t>时间</w:t>
            </w:r>
          </w:p>
        </w:tc>
        <w:tc>
          <w:tcPr>
            <w:tcW w:w="0" w:type="auto"/>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计划配备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国家综合性应急救援人员或政府专职队人员</w:t>
            </w:r>
          </w:p>
        </w:tc>
      </w:tr>
      <w:tr>
        <w:tblPrEx>
          <w:shd w:val="clear" w:color="auto" w:fill="auto"/>
          <w:tblCellMar>
            <w:top w:w="0" w:type="dxa"/>
            <w:left w:w="0" w:type="dxa"/>
            <w:bottom w:w="0" w:type="dxa"/>
            <w:right w:w="0" w:type="dxa"/>
          </w:tblCellMar>
        </w:tblPrEx>
        <w:trPr>
          <w:trHeight w:val="67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原牧街</w:t>
            </w:r>
            <w:r>
              <w:rPr>
                <w:rFonts w:hint="eastAsia" w:ascii="宋体" w:hAnsi="宋体" w:eastAsia="宋体" w:cs="宋体"/>
                <w:i w:val="0"/>
                <w:color w:val="000000"/>
                <w:kern w:val="0"/>
                <w:sz w:val="18"/>
                <w:szCs w:val="18"/>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临河区原牧街与广牧路交汇处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5200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3575</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35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乌拉特大街消防站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临河区乌拉特大街</w:t>
            </w:r>
            <w:r>
              <w:rPr>
                <w:rFonts w:hint="eastAsia" w:ascii="宋体" w:hAnsi="宋体" w:cs="宋体"/>
                <w:i w:val="0"/>
                <w:color w:val="000000"/>
                <w:kern w:val="0"/>
                <w:sz w:val="18"/>
                <w:szCs w:val="18"/>
                <w:u w:val="none"/>
                <w:lang w:val="en-US" w:eastAsia="zh-CN" w:bidi="ar"/>
              </w:rPr>
              <w:t>与丰州路交汇处</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4940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tblPrEx>
          <w:tblCellMar>
            <w:top w:w="0" w:type="dxa"/>
            <w:left w:w="0" w:type="dxa"/>
            <w:bottom w:w="0" w:type="dxa"/>
            <w:right w:w="0" w:type="dxa"/>
          </w:tblCellMar>
        </w:tblPrEx>
        <w:trPr>
          <w:trHeight w:val="9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白彦花大街消防救援站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乌拉特前旗乌拉山镇白彦花大街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67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乌拉前旗工业园区消防</w:t>
            </w:r>
            <w:r>
              <w:rPr>
                <w:rFonts w:hint="eastAsia" w:ascii="宋体" w:hAnsi="宋体" w:cs="宋体"/>
                <w:i w:val="0"/>
                <w:color w:val="000000"/>
                <w:kern w:val="0"/>
                <w:sz w:val="18"/>
                <w:szCs w:val="18"/>
                <w:u w:val="none"/>
                <w:lang w:val="en-US" w:eastAsia="zh-CN" w:bidi="ar"/>
              </w:rPr>
              <w:t>救援</w:t>
            </w:r>
            <w:r>
              <w:rPr>
                <w:rFonts w:hint="eastAsia" w:ascii="宋体" w:hAnsi="宋体" w:eastAsia="宋体" w:cs="宋体"/>
                <w:i w:val="0"/>
                <w:color w:val="000000"/>
                <w:kern w:val="0"/>
                <w:sz w:val="18"/>
                <w:szCs w:val="18"/>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乌拉特前旗先锋镇黑柳子工业园区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政府专职</w:t>
            </w:r>
          </w:p>
        </w:tc>
      </w:tr>
      <w:tr>
        <w:tblPrEx>
          <w:tblCellMar>
            <w:top w:w="0" w:type="dxa"/>
            <w:left w:w="0" w:type="dxa"/>
            <w:bottom w:w="0" w:type="dxa"/>
            <w:right w:w="0" w:type="dxa"/>
          </w:tblCellMar>
        </w:tblPrEx>
        <w:trPr>
          <w:trHeight w:val="80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杭锦后旗龙宝东街消防救援站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杭锦后旗陕坝镇龙宝东街南、酒业路西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2024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18"/>
                <w:szCs w:val="18"/>
                <w:u w:val="none"/>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62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五原县团结路消防救援站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五原县隆兴昌镇团结路</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小型消防站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FF0000"/>
                <w:kern w:val="0"/>
                <w:sz w:val="18"/>
                <w:szCs w:val="18"/>
                <w:u w:val="none"/>
                <w:lang w:val="en-US" w:eastAsia="zh-CN" w:bidi="ar"/>
              </w:rPr>
            </w:pPr>
            <w:r>
              <w:rPr>
                <w:rFonts w:hint="eastAsia" w:ascii="宋体" w:hAnsi="宋体" w:cs="宋体"/>
                <w:i w:val="0"/>
                <w:color w:val="auto"/>
                <w:kern w:val="0"/>
                <w:sz w:val="18"/>
                <w:szCs w:val="18"/>
                <w:u w:val="none"/>
                <w:lang w:val="en-US" w:eastAsia="zh-CN" w:bidi="ar"/>
              </w:rPr>
              <w:t>3900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1200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18"/>
                <w:szCs w:val="18"/>
                <w:u w:val="none"/>
                <w:lang w:val="en-US" w:eastAsia="zh-CN" w:bidi="ar"/>
              </w:rPr>
            </w:pPr>
            <w:r>
              <w:rPr>
                <w:rFonts w:hint="eastAsia" w:ascii="宋体" w:hAnsi="宋体" w:cs="宋体"/>
                <w:i w:val="0"/>
                <w:color w:val="auto"/>
                <w:kern w:val="0"/>
                <w:sz w:val="18"/>
                <w:szCs w:val="18"/>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r>
        <w:tblPrEx>
          <w:tblCellMar>
            <w:top w:w="0" w:type="dxa"/>
            <w:left w:w="0" w:type="dxa"/>
            <w:bottom w:w="0" w:type="dxa"/>
            <w:right w:w="0" w:type="dxa"/>
          </w:tblCellMar>
        </w:tblPrEx>
        <w:trPr>
          <w:trHeight w:val="58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水上救援综合训练基地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待定</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培训基地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政府代建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25000</w:t>
            </w:r>
          </w:p>
        </w:tc>
        <w:tc>
          <w:tcPr>
            <w:tcW w:w="8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6000</w:t>
            </w:r>
          </w:p>
        </w:tc>
        <w:tc>
          <w:tcPr>
            <w:tcW w:w="8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202</w:t>
            </w:r>
            <w:r>
              <w:rPr>
                <w:rFonts w:hint="eastAsia" w:ascii="宋体" w:hAnsi="宋体" w:cs="宋体"/>
                <w:i w:val="0"/>
                <w:color w:val="auto"/>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国家综合性应急救援人员</w:t>
            </w:r>
          </w:p>
        </w:tc>
      </w:tr>
    </w:tbl>
    <w:p>
      <w:pPr>
        <w:rPr>
          <w:rFonts w:hint="eastAsia" w:ascii="仿宋_GB2312" w:hAnsi="仿宋_GB2312" w:eastAsia="仿宋_GB2312" w:cs="仿宋_GB2312"/>
          <w:snapToGrid w:val="0"/>
          <w:kern w:val="0"/>
          <w:sz w:val="32"/>
          <w:lang w:eastAsia="zh-CN"/>
        </w:rPr>
      </w:pPr>
    </w:p>
    <w:tbl>
      <w:tblPr>
        <w:tblStyle w:val="12"/>
        <w:tblW w:w="0" w:type="auto"/>
        <w:tblInd w:w="0" w:type="dxa"/>
        <w:shd w:val="clear" w:color="auto" w:fill="auto"/>
        <w:tblLayout w:type="autofit"/>
        <w:tblCellMar>
          <w:top w:w="0" w:type="dxa"/>
          <w:left w:w="0" w:type="dxa"/>
          <w:bottom w:w="0" w:type="dxa"/>
          <w:right w:w="0" w:type="dxa"/>
        </w:tblCellMar>
      </w:tblPr>
      <w:tblGrid>
        <w:gridCol w:w="390"/>
        <w:gridCol w:w="1143"/>
        <w:gridCol w:w="471"/>
        <w:gridCol w:w="471"/>
        <w:gridCol w:w="994"/>
        <w:gridCol w:w="733"/>
        <w:gridCol w:w="471"/>
        <w:gridCol w:w="733"/>
        <w:gridCol w:w="471"/>
        <w:gridCol w:w="733"/>
        <w:gridCol w:w="863"/>
        <w:gridCol w:w="471"/>
        <w:gridCol w:w="733"/>
        <w:gridCol w:w="863"/>
        <w:gridCol w:w="733"/>
        <w:gridCol w:w="733"/>
        <w:gridCol w:w="471"/>
        <w:gridCol w:w="994"/>
        <w:gridCol w:w="1517"/>
      </w:tblGrid>
      <w:tr>
        <w:tblPrEx>
          <w:tblCellMar>
            <w:top w:w="0" w:type="dxa"/>
            <w:left w:w="0" w:type="dxa"/>
            <w:bottom w:w="0" w:type="dxa"/>
            <w:right w:w="0" w:type="dxa"/>
          </w:tblCellMar>
        </w:tblPrEx>
        <w:trPr>
          <w:trHeight w:val="357" w:hRule="atLeast"/>
        </w:trPr>
        <w:tc>
          <w:tcPr>
            <w:tcW w:w="13988" w:type="dxa"/>
            <w:gridSpan w:val="1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2"/>
                <w:sz w:val="21"/>
                <w:lang w:val="en-US" w:eastAsia="zh-CN" w:bidi="ar-SA"/>
              </w:rPr>
            </w:pPr>
            <w:r>
              <w:rPr>
                <w:rFonts w:hint="eastAsia" w:ascii="黑体" w:hAnsi="宋体" w:eastAsia="黑体" w:cs="黑体"/>
                <w:b/>
                <w:i w:val="0"/>
                <w:color w:val="000000"/>
                <w:kern w:val="0"/>
                <w:sz w:val="32"/>
                <w:szCs w:val="32"/>
                <w:u w:val="none"/>
                <w:lang w:val="en-US" w:eastAsia="zh-CN" w:bidi="ar"/>
              </w:rPr>
              <w:t>附件2：“十四五”期间消防救援车辆装备建设规划表</w:t>
            </w:r>
          </w:p>
          <w:p>
            <w:pPr>
              <w:keepNext w:val="0"/>
              <w:keepLines w:val="0"/>
              <w:widowControl/>
              <w:suppressLineNumbers w:val="0"/>
              <w:jc w:val="center"/>
              <w:textAlignment w:val="top"/>
              <w:rPr>
                <w:rFonts w:hint="eastAsia" w:ascii="黑体" w:hAnsi="宋体" w:eastAsia="黑体" w:cs="黑体"/>
                <w:i w:val="0"/>
                <w:iCs w:val="0"/>
                <w:color w:val="000000"/>
                <w:kern w:val="0"/>
                <w:sz w:val="18"/>
                <w:szCs w:val="18"/>
                <w:u w:val="none"/>
                <w:lang w:val="en-US" w:eastAsia="zh-CN" w:bidi="ar"/>
              </w:rPr>
            </w:pP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年度</w:t>
            </w:r>
          </w:p>
        </w:tc>
        <w:tc>
          <w:tcPr>
            <w:tcW w:w="11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旗县</w:t>
            </w:r>
          </w:p>
        </w:tc>
        <w:tc>
          <w:tcPr>
            <w:tcW w:w="12455" w:type="dxa"/>
            <w:gridSpan w:val="1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全市消防车辆配备（单位：台）</w:t>
            </w: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266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灭火类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举高类</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专勤类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保障类</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其他类</w:t>
            </w:r>
          </w:p>
        </w:tc>
      </w:tr>
      <w:tr>
        <w:tblPrEx>
          <w:tblCellMar>
            <w:top w:w="0" w:type="dxa"/>
            <w:left w:w="0" w:type="dxa"/>
            <w:bottom w:w="0" w:type="dxa"/>
            <w:right w:w="0" w:type="dxa"/>
          </w:tblCellMar>
        </w:tblPrEx>
        <w:trPr>
          <w:trHeight w:val="10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水罐车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压缩空气泡沫车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多剂联用车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高喷车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登高平台车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云梯车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抢险救援车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大功率排烟车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照明车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防化洗消车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核生化侦检车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通信指挥车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远程供水车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保障车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自装卸式消防车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r>
              <w:rPr>
                <w:rFonts w:hint="eastAsia" w:ascii="黑体" w:hAnsi="宋体" w:eastAsia="黑体" w:cs="黑体"/>
                <w:i w:val="0"/>
                <w:iCs w:val="0"/>
                <w:color w:val="000000"/>
                <w:kern w:val="0"/>
                <w:sz w:val="18"/>
                <w:szCs w:val="18"/>
                <w:u w:val="none"/>
                <w:lang w:val="en-US" w:eastAsia="zh-CN" w:bidi="ar"/>
              </w:rPr>
              <w:t>工程车及其他新型消防车</w:t>
            </w: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2021</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r>
              <w:rPr>
                <w:rFonts w:hint="eastAsia" w:ascii="黑体" w:hAnsi="宋体" w:eastAsia="黑体" w:cs="黑体"/>
                <w:i w:val="0"/>
                <w:iCs w:val="0"/>
                <w:color w:val="000000"/>
                <w:kern w:val="0"/>
                <w:sz w:val="18"/>
                <w:szCs w:val="18"/>
                <w:u w:val="none"/>
                <w:lang w:val="en-US" w:eastAsia="zh-CN" w:bidi="ar"/>
              </w:rPr>
              <w:t xml:space="preserve"> </w:t>
            </w:r>
          </w:p>
        </w:tc>
      </w:tr>
      <w:tr>
        <w:tblPrEx>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default" w:ascii="Calibri" w:hAnsi="Calibri" w:eastAsia="宋体" w:cs="Calibri"/>
                <w:i w:val="0"/>
                <w:iCs w:val="0"/>
                <w:color w:val="000000"/>
                <w:kern w:val="0"/>
                <w:sz w:val="18"/>
                <w:szCs w:val="18"/>
                <w:u w:val="none"/>
                <w:lang w:val="en-US" w:eastAsia="zh-CN" w:bidi="ar"/>
              </w:rPr>
              <w:t>1</w:t>
            </w: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2022</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2023</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r>
      <w:tr>
        <w:tblPrEx>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2024</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9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auto"/>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default"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4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2025</w:t>
            </w: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临河区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乌拉特前旗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乌拉特中旗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乌拉特后旗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杭锦后旗</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五原县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FF000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14:textFill>
                  <w14:gradFill>
                    <w14:gsLst>
                      <w14:gs w14:pos="0">
                        <w14:srgbClr w14:val="007BD3"/>
                      </w14:gs>
                      <w14:gs w14:pos="100000">
                        <w14:srgbClr w14:val="034373"/>
                      </w14:gs>
                    </w14:gsLst>
                    <w14:lin w14:scaled="false"/>
                  </w14:gradFill>
                </w14:textFill>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FF000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磴口县</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68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经济技术开发区</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支队本级</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5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宋体" w:hAnsi="宋体" w:eastAsia="宋体" w:cs="宋体"/>
                <w:i w:val="0"/>
                <w:iCs w:val="0"/>
                <w:color w:val="000000"/>
                <w:kern w:val="0"/>
                <w:sz w:val="18"/>
                <w:szCs w:val="18"/>
                <w:u w:val="none"/>
                <w:lang w:val="en-US" w:eastAsia="zh-CN" w:bidi="ar"/>
              </w:rPr>
              <w:t>小计</w:t>
            </w:r>
          </w:p>
        </w:tc>
        <w:tc>
          <w:tcPr>
            <w:tcW w:w="4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color w:val="00B0F0"/>
                <w:kern w:val="0"/>
                <w:sz w:val="18"/>
                <w:szCs w:val="18"/>
              </w:rPr>
            </w:pPr>
            <w:r>
              <w:rPr>
                <w:rFonts w:hint="eastAsia" w:ascii="黑体" w:hAnsi="宋体" w:eastAsia="黑体" w:cs="黑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imes New Roman" w:hAnsi="Times New Roman" w:eastAsia="宋体" w:cs="Times New Roman"/>
                <w:color w:val="00B0F0"/>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sz w:val="18"/>
                <w:szCs w:val="18"/>
              </w:rPr>
            </w:pPr>
          </w:p>
        </w:tc>
      </w:tr>
      <w:tr>
        <w:tblPrEx>
          <w:tblCellMar>
            <w:top w:w="0" w:type="dxa"/>
            <w:left w:w="0" w:type="dxa"/>
            <w:bottom w:w="0" w:type="dxa"/>
            <w:right w:w="0" w:type="dxa"/>
          </w:tblCellMar>
        </w:tblPrEx>
        <w:trPr>
          <w:trHeight w:val="36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总计</w:t>
            </w:r>
          </w:p>
        </w:tc>
        <w:tc>
          <w:tcPr>
            <w:tcW w:w="11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kern w:val="0"/>
                <w:sz w:val="18"/>
                <w:szCs w:val="18"/>
                <w:lang w:val="en-US" w:eastAsia="zh-CN"/>
              </w:rPr>
            </w:pPr>
            <w:r>
              <w:rPr>
                <w:rFonts w:hint="eastAsia" w:cs="Times New Roman"/>
                <w:kern w:val="0"/>
                <w:sz w:val="18"/>
                <w:szCs w:val="18"/>
                <w:lang w:val="en-US" w:eastAsia="zh-CN"/>
              </w:rPr>
              <w:t>46</w:t>
            </w:r>
          </w:p>
        </w:tc>
        <w:tc>
          <w:tcPr>
            <w:tcW w:w="47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Times New Roman" w:hAnsi="Times New Roman" w:eastAsia="宋体" w:cs="Times New Roman"/>
                <w:kern w:val="0"/>
                <w:sz w:val="18"/>
                <w:szCs w:val="18"/>
                <w:lang w:val="en-US" w:eastAsia="zh-CN"/>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052"/>
        <w:gridCol w:w="931"/>
        <w:gridCol w:w="931"/>
        <w:gridCol w:w="646"/>
        <w:gridCol w:w="646"/>
        <w:gridCol w:w="646"/>
        <w:gridCol w:w="646"/>
        <w:gridCol w:w="603"/>
        <w:gridCol w:w="603"/>
        <w:gridCol w:w="603"/>
        <w:gridCol w:w="845"/>
        <w:gridCol w:w="689"/>
        <w:gridCol w:w="689"/>
        <w:gridCol w:w="646"/>
        <w:gridCol w:w="480"/>
        <w:gridCol w:w="767"/>
        <w:gridCol w:w="725"/>
        <w:gridCol w:w="725"/>
        <w:gridCol w:w="725"/>
        <w:gridCol w:w="390"/>
      </w:tblGrid>
      <w:tr>
        <w:tblPrEx>
          <w:tblCellMar>
            <w:top w:w="0" w:type="dxa"/>
            <w:left w:w="0" w:type="dxa"/>
            <w:bottom w:w="0" w:type="dxa"/>
            <w:right w:w="0" w:type="dxa"/>
          </w:tblCellMar>
        </w:tblPrEx>
        <w:trPr>
          <w:trHeight w:val="1052" w:hRule="atLeast"/>
        </w:trPr>
        <w:tc>
          <w:tcPr>
            <w:tcW w:w="0" w:type="auto"/>
            <w:gridSpan w:val="20"/>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b/>
                <w:i w:val="0"/>
                <w:color w:val="000000"/>
                <w:sz w:val="32"/>
                <w:szCs w:val="32"/>
                <w:u w:val="none"/>
              </w:rPr>
            </w:pPr>
            <w:r>
              <w:rPr>
                <w:rFonts w:hint="eastAsia" w:ascii="黑体" w:hAnsi="宋体" w:eastAsia="黑体" w:cs="黑体"/>
                <w:b/>
                <w:i w:val="0"/>
                <w:color w:val="000000"/>
                <w:kern w:val="0"/>
                <w:sz w:val="32"/>
                <w:szCs w:val="32"/>
                <w:u w:val="none"/>
                <w:lang w:val="en-US" w:eastAsia="zh-CN" w:bidi="ar"/>
              </w:rPr>
              <w:t>附件3：巴彦淖尔市“十四五”期间消防救援队伍器材装备配备规划表</w:t>
            </w:r>
          </w:p>
        </w:tc>
      </w:tr>
      <w:tr>
        <w:tblPrEx>
          <w:tblCellMar>
            <w:top w:w="0" w:type="dxa"/>
            <w:left w:w="0" w:type="dxa"/>
            <w:bottom w:w="0" w:type="dxa"/>
            <w:right w:w="0" w:type="dxa"/>
          </w:tblCellMar>
        </w:tblPrEx>
        <w:trPr>
          <w:trHeight w:val="54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1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全市消防器材配备〔单位：件（套）〕</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全市消防灭火剂配备〔单位：吨〕</w:t>
            </w:r>
          </w:p>
        </w:tc>
      </w:tr>
      <w:tr>
        <w:tblPrEx>
          <w:tblCellMar>
            <w:top w:w="0" w:type="dxa"/>
            <w:left w:w="0" w:type="dxa"/>
            <w:bottom w:w="0" w:type="dxa"/>
            <w:right w:w="0" w:type="dxa"/>
          </w:tblCellMar>
        </w:tblPrEx>
        <w:trPr>
          <w:trHeight w:val="1052"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特种防护装备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侦检器材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警戒器材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救生器材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破拆器材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堵漏器材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输转器材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洗消器材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照明排烟器材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输水器材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射水器材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其他器材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泡沫灭火剂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干粉灭火剂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气体灭火剂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其他灭火剂</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r>
      <w:tr>
        <w:tblPrEx>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1840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100</w:t>
            </w:r>
          </w:p>
        </w:tc>
      </w:tr>
      <w:tr>
        <w:tblPrEx>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3991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50</w:t>
            </w:r>
          </w:p>
        </w:tc>
      </w:tr>
      <w:tr>
        <w:tblPrEx>
          <w:tblCellMar>
            <w:top w:w="0" w:type="dxa"/>
            <w:left w:w="0" w:type="dxa"/>
            <w:bottom w:w="0" w:type="dxa"/>
            <w:right w:w="0" w:type="dxa"/>
          </w:tblCellMar>
        </w:tblPrEx>
        <w:trPr>
          <w:trHeight w:val="36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5</w:t>
            </w:r>
          </w:p>
        </w:tc>
      </w:tr>
      <w:tr>
        <w:tblPrEx>
          <w:tblCellMar>
            <w:top w:w="0" w:type="dxa"/>
            <w:left w:w="0" w:type="dxa"/>
            <w:bottom w:w="0" w:type="dxa"/>
            <w:right w:w="0" w:type="dxa"/>
          </w:tblCellMar>
        </w:tblPrEx>
        <w:trPr>
          <w:trHeight w:val="36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tblPrEx>
          <w:tblCellMar>
            <w:top w:w="0" w:type="dxa"/>
            <w:left w:w="0" w:type="dxa"/>
            <w:bottom w:w="0" w:type="dxa"/>
            <w:right w:w="0" w:type="dxa"/>
          </w:tblCellMar>
        </w:tblPrEx>
        <w:trPr>
          <w:trHeight w:val="37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10</w:t>
            </w:r>
          </w:p>
        </w:tc>
      </w:tr>
      <w:tr>
        <w:tblPrEx>
          <w:tblCellMar>
            <w:top w:w="0" w:type="dxa"/>
            <w:left w:w="0" w:type="dxa"/>
            <w:bottom w:w="0" w:type="dxa"/>
            <w:right w:w="0" w:type="dxa"/>
          </w:tblCellMar>
        </w:tblPrEx>
        <w:trPr>
          <w:trHeight w:val="52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tblPrEx>
          <w:tblCellMar>
            <w:top w:w="0" w:type="dxa"/>
            <w:left w:w="0" w:type="dxa"/>
            <w:bottom w:w="0" w:type="dxa"/>
            <w:right w:w="0" w:type="dxa"/>
          </w:tblCellMar>
        </w:tblPrEx>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1055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30</w:t>
            </w:r>
          </w:p>
        </w:tc>
      </w:tr>
      <w:tr>
        <w:tblPrEx>
          <w:tblCellMar>
            <w:top w:w="0" w:type="dxa"/>
            <w:left w:w="0" w:type="dxa"/>
            <w:bottom w:w="0" w:type="dxa"/>
            <w:right w:w="0" w:type="dxa"/>
          </w:tblCellMar>
        </w:tblPrEx>
        <w:trPr>
          <w:trHeight w:val="86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sz w:val="18"/>
                <w:szCs w:val="18"/>
                <w:u w:val="none"/>
                <w:lang w:val="en-US" w:eastAsia="zh-CN"/>
              </w:rPr>
            </w:pPr>
            <w:r>
              <w:rPr>
                <w:rFonts w:hint="eastAsia" w:ascii="Tahoma" w:hAnsi="Tahoma" w:eastAsia="宋体" w:cs="Tahoma"/>
                <w:i w:val="0"/>
                <w:color w:val="000000"/>
                <w:sz w:val="18"/>
                <w:szCs w:val="18"/>
                <w:u w:val="none"/>
                <w:lang w:val="en-US" w:eastAsia="zh-CN"/>
              </w:rPr>
              <w:t>25</w:t>
            </w:r>
          </w:p>
        </w:tc>
      </w:tr>
      <w:tr>
        <w:tblPrEx>
          <w:tblCellMar>
            <w:top w:w="0" w:type="dxa"/>
            <w:left w:w="0" w:type="dxa"/>
            <w:bottom w:w="0" w:type="dxa"/>
            <w:right w:w="0" w:type="dxa"/>
          </w:tblCellMar>
        </w:tblPrEx>
        <w:trPr>
          <w:trHeight w:val="5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支队本级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1857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3819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20</w:t>
            </w:r>
          </w:p>
        </w:tc>
      </w:tr>
      <w:tr>
        <w:tblPrEx>
          <w:tblCellMar>
            <w:top w:w="0" w:type="dxa"/>
            <w:left w:w="0" w:type="dxa"/>
            <w:bottom w:w="0" w:type="dxa"/>
            <w:right w:w="0" w:type="dxa"/>
          </w:tblCellMar>
        </w:tblPrEx>
        <w:trPr>
          <w:trHeight w:val="5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6547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2787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768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1594</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926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15123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14:textFill>
                  <w14:solidFill>
                    <w14:schemeClr w14:val="tx1"/>
                  </w14:solidFill>
                </w14:textFill>
              </w:rPr>
            </w:pPr>
            <w:r>
              <w:rPr>
                <w:rFonts w:hint="eastAsia" w:ascii="宋体" w:hAnsi="宋体" w:eastAsia="宋体" w:cs="宋体"/>
                <w:i w:val="0"/>
                <w:iCs w:val="0"/>
                <w:color w:val="000000" w:themeColor="text1"/>
                <w:kern w:val="0"/>
                <w:sz w:val="18"/>
                <w:szCs w:val="18"/>
                <w:u w:val="none"/>
                <w:lang w:val="en-US" w:eastAsia="zh-CN" w:bidi="ar"/>
                <w14:textFill>
                  <w14:solidFill>
                    <w14:schemeClr w14:val="tx1"/>
                  </w14:solidFill>
                </w14:textFill>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themeColor="text1"/>
                <w:sz w:val="18"/>
                <w:szCs w:val="18"/>
                <w:u w:val="none"/>
                <w:lang w:val="en-US" w:eastAsia="zh-CN"/>
                <w14:textFill>
                  <w14:solidFill>
                    <w14:schemeClr w14:val="tx1"/>
                  </w14:solidFill>
                </w14:textFill>
              </w:rPr>
            </w:pPr>
            <w:r>
              <w:rPr>
                <w:rFonts w:hint="eastAsia" w:ascii="宋体" w:hAnsi="宋体" w:eastAsia="宋体" w:cs="宋体"/>
                <w:i w:val="0"/>
                <w:color w:val="000000" w:themeColor="text1"/>
                <w:sz w:val="18"/>
                <w:szCs w:val="18"/>
                <w:u w:val="none"/>
                <w:lang w:val="en-US" w:eastAsia="zh-CN"/>
                <w14:textFill>
                  <w14:solidFill>
                    <w14:schemeClr w14:val="tx1"/>
                  </w14:solidFill>
                </w14:textFill>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宋体" w:cs="Tahoma"/>
                <w:i w:val="0"/>
                <w:color w:val="000000" w:themeColor="text1"/>
                <w:sz w:val="18"/>
                <w:szCs w:val="18"/>
                <w:u w:val="none"/>
                <w:lang w:val="en-US" w:eastAsia="zh-CN"/>
                <w14:textFill>
                  <w14:solidFill>
                    <w14:schemeClr w14:val="tx1"/>
                  </w14:solidFill>
                </w14:textFill>
              </w:rPr>
            </w:pPr>
            <w:r>
              <w:rPr>
                <w:rFonts w:hint="eastAsia" w:ascii="Tahoma" w:hAnsi="Tahoma" w:eastAsia="宋体" w:cs="Tahoma"/>
                <w:i w:val="0"/>
                <w:color w:val="000000" w:themeColor="text1"/>
                <w:sz w:val="18"/>
                <w:szCs w:val="18"/>
                <w:u w:val="none"/>
                <w:lang w:val="en-US" w:eastAsia="zh-CN"/>
                <w14:textFill>
                  <w14:solidFill>
                    <w14:schemeClr w14:val="tx1"/>
                  </w14:solidFill>
                </w14:textFill>
              </w:rPr>
              <w:t>295</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1172"/>
        <w:gridCol w:w="550"/>
        <w:gridCol w:w="550"/>
        <w:gridCol w:w="380"/>
        <w:gridCol w:w="541"/>
        <w:gridCol w:w="531"/>
        <w:gridCol w:w="541"/>
        <w:gridCol w:w="531"/>
        <w:gridCol w:w="520"/>
        <w:gridCol w:w="563"/>
        <w:gridCol w:w="567"/>
        <w:gridCol w:w="555"/>
        <w:gridCol w:w="555"/>
        <w:gridCol w:w="541"/>
        <w:gridCol w:w="541"/>
        <w:gridCol w:w="531"/>
        <w:gridCol w:w="531"/>
        <w:gridCol w:w="541"/>
        <w:gridCol w:w="541"/>
        <w:gridCol w:w="531"/>
        <w:gridCol w:w="531"/>
        <w:gridCol w:w="541"/>
        <w:gridCol w:w="541"/>
        <w:gridCol w:w="531"/>
        <w:gridCol w:w="531"/>
      </w:tblGrid>
      <w:tr>
        <w:tblPrEx>
          <w:tblCellMar>
            <w:top w:w="0" w:type="dxa"/>
            <w:left w:w="0" w:type="dxa"/>
            <w:bottom w:w="0" w:type="dxa"/>
            <w:right w:w="0" w:type="dxa"/>
          </w:tblCellMar>
        </w:tblPrEx>
        <w:trPr>
          <w:trHeight w:val="983" w:hRule="atLeast"/>
        </w:trPr>
        <w:tc>
          <w:tcPr>
            <w:tcW w:w="0" w:type="auto"/>
            <w:gridSpan w:val="2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黑体" w:hAnsi="宋体" w:eastAsia="黑体" w:cs="黑体"/>
                <w:b/>
                <w:i w:val="0"/>
                <w:color w:val="000000"/>
                <w:kern w:val="0"/>
                <w:sz w:val="32"/>
                <w:szCs w:val="32"/>
                <w:u w:val="none"/>
                <w:lang w:val="en-US" w:eastAsia="zh-CN" w:bidi="ar"/>
              </w:rPr>
              <w:t>附件4：市政消火栓（市政消防水鹤）规划表</w:t>
            </w:r>
          </w:p>
        </w:tc>
      </w:tr>
      <w:tr>
        <w:tblPrEx>
          <w:shd w:val="clear" w:color="auto" w:fill="auto"/>
          <w:tblCellMar>
            <w:top w:w="0" w:type="dxa"/>
            <w:left w:w="0" w:type="dxa"/>
            <w:bottom w:w="0" w:type="dxa"/>
            <w:right w:w="0" w:type="dxa"/>
          </w:tblCellMar>
        </w:tblPrEx>
        <w:trPr>
          <w:trHeight w:val="51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旗县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十三五期间</w:t>
            </w:r>
          </w:p>
        </w:tc>
        <w:tc>
          <w:tcPr>
            <w:tcW w:w="2129"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2021年</w:t>
            </w:r>
          </w:p>
        </w:tc>
        <w:tc>
          <w:tcPr>
            <w:tcW w:w="219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2022年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2023年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2024年</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w:t>
            </w:r>
          </w:p>
        </w:tc>
      </w:tr>
      <w:tr>
        <w:tblPrEx>
          <w:tblCellMar>
            <w:top w:w="0" w:type="dxa"/>
            <w:left w:w="0" w:type="dxa"/>
            <w:bottom w:w="0" w:type="dxa"/>
            <w:right w:w="0"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应有数</w:t>
            </w:r>
          </w:p>
        </w:tc>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现有数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完好率</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10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11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市政消火栓</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市政消防水鹤</w:t>
            </w:r>
          </w:p>
        </w:tc>
      </w:tr>
      <w:tr>
        <w:tblPrEx>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53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维修数</w:t>
            </w:r>
          </w:p>
        </w:tc>
      </w:tr>
      <w:tr>
        <w:tblPrEx>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消火栓</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水鹤</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7"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临河区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乌拉特前旗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乌拉特中旗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9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乌拉特后旗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5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杭锦后旗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五原县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5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磴口县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r>
      <w:tr>
        <w:tblPrEx>
          <w:tblCellMar>
            <w:top w:w="0" w:type="dxa"/>
            <w:left w:w="0" w:type="dxa"/>
            <w:bottom w:w="0" w:type="dxa"/>
            <w:right w:w="0" w:type="dxa"/>
          </w:tblCellMar>
        </w:tblPrEx>
        <w:trPr>
          <w:trHeight w:val="80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经济技术开发区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r>
      <w:tr>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5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r>
    </w:tbl>
    <w:p>
      <w:pPr>
        <w:rPr>
          <w:rFonts w:hint="eastAsia" w:ascii="仿宋_GB2312" w:hAnsi="仿宋_GB2312" w:eastAsia="仿宋_GB2312" w:cs="仿宋_GB2312"/>
          <w:snapToGrid w:val="0"/>
          <w:kern w:val="0"/>
          <w:sz w:val="32"/>
          <w:lang w:eastAsia="zh-CN"/>
        </w:rPr>
      </w:pPr>
      <w:r>
        <w:rPr>
          <w:rFonts w:hint="eastAsia" w:ascii="仿宋_GB2312" w:hAnsi="仿宋_GB2312" w:eastAsia="仿宋_GB2312" w:cs="仿宋_GB2312"/>
          <w:snapToGrid w:val="0"/>
          <w:kern w:val="0"/>
          <w:sz w:val="18"/>
          <w:szCs w:val="18"/>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870"/>
        <w:gridCol w:w="450"/>
        <w:gridCol w:w="2760"/>
        <w:gridCol w:w="1920"/>
        <w:gridCol w:w="1782"/>
        <w:gridCol w:w="1290"/>
        <w:gridCol w:w="1929"/>
        <w:gridCol w:w="2007"/>
        <w:gridCol w:w="980"/>
      </w:tblGrid>
      <w:tr>
        <w:tblPrEx>
          <w:tblCellMar>
            <w:top w:w="0" w:type="dxa"/>
            <w:left w:w="0" w:type="dxa"/>
            <w:bottom w:w="0" w:type="dxa"/>
            <w:right w:w="0" w:type="dxa"/>
          </w:tblCellMar>
        </w:tblPrEx>
        <w:trPr>
          <w:trHeight w:val="141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附件5：“十四五”规划新</w:t>
            </w:r>
            <w:r>
              <w:rPr>
                <w:rFonts w:hint="eastAsia" w:ascii="黑体" w:hAnsi="宋体" w:eastAsia="黑体" w:cs="黑体"/>
                <w:b/>
                <w:i w:val="0"/>
                <w:color w:val="auto"/>
                <w:kern w:val="0"/>
                <w:sz w:val="32"/>
                <w:szCs w:val="32"/>
                <w:u w:val="none"/>
                <w:lang w:val="en-US" w:eastAsia="zh-CN" w:bidi="ar"/>
              </w:rPr>
              <w:t>建乡镇政府专职消防队统</w:t>
            </w:r>
            <w:r>
              <w:rPr>
                <w:rFonts w:hint="eastAsia" w:ascii="黑体" w:hAnsi="宋体" w:eastAsia="黑体" w:cs="黑体"/>
                <w:b/>
                <w:i w:val="0"/>
                <w:color w:val="000000"/>
                <w:kern w:val="0"/>
                <w:sz w:val="32"/>
                <w:szCs w:val="32"/>
                <w:u w:val="none"/>
                <w:lang w:val="en-US" w:eastAsia="zh-CN" w:bidi="ar"/>
              </w:rPr>
              <w:t>计表</w:t>
            </w:r>
          </w:p>
        </w:tc>
      </w:tr>
      <w:tr>
        <w:tblPrEx>
          <w:tblCellMar>
            <w:top w:w="0" w:type="dxa"/>
            <w:left w:w="0" w:type="dxa"/>
            <w:bottom w:w="0" w:type="dxa"/>
            <w:right w:w="0"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盟市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新建乡镇专职队名称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应配最低专职消防员数量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规划配备专职消防队员数量</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cs="宋体"/>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不含兼职</w:t>
            </w:r>
            <w:r>
              <w:rPr>
                <w:rFonts w:hint="eastAsia" w:ascii="宋体" w:hAnsi="宋体" w:cs="宋体"/>
                <w:i w:val="0"/>
                <w:color w:val="000000"/>
                <w:kern w:val="0"/>
                <w:sz w:val="21"/>
                <w:szCs w:val="21"/>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规划专职消防队员招收时间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计划配备车辆</w:t>
            </w:r>
          </w:p>
        </w:tc>
      </w:tr>
      <w:tr>
        <w:tblPrEx>
          <w:tblCellMar>
            <w:top w:w="0" w:type="dxa"/>
            <w:left w:w="0" w:type="dxa"/>
            <w:bottom w:w="0" w:type="dxa"/>
            <w:right w:w="0" w:type="dxa"/>
          </w:tblCellMar>
        </w:tblPrEx>
        <w:trPr>
          <w:trHeight w:val="49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巴彦淖尔</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双庙镇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kern w:val="0"/>
                <w:sz w:val="21"/>
                <w:szCs w:val="21"/>
                <w:u w:val="none"/>
                <w:lang w:val="en-US" w:eastAsia="zh-CN" w:bidi="ar"/>
              </w:rPr>
              <w:t>二级乡镇专职消防</w:t>
            </w:r>
            <w:r>
              <w:rPr>
                <w:rFonts w:hint="eastAsia" w:ascii="宋体" w:hAnsi="宋体" w:cs="宋体"/>
                <w:i w:val="0"/>
                <w:color w:val="000000"/>
                <w:kern w:val="0"/>
                <w:sz w:val="21"/>
                <w:szCs w:val="21"/>
                <w:u w:val="none"/>
                <w:lang w:val="en-US" w:eastAsia="zh-CN" w:bidi="ar"/>
              </w:rPr>
              <w:t>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沙海镇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团结镇</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二级乡镇专职消防队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苏独仑</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小佘太</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沙德格</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2023年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乌梁素海</w:t>
            </w:r>
            <w:r>
              <w:rPr>
                <w:rFonts w:hint="eastAsia" w:ascii="宋体" w:hAnsi="宋体" w:cs="宋体"/>
                <w:i w:val="0"/>
                <w:color w:val="000000"/>
                <w:kern w:val="0"/>
                <w:sz w:val="21"/>
                <w:szCs w:val="21"/>
                <w:u w:val="none"/>
                <w:lang w:val="en-US" w:eastAsia="zh-CN" w:bidi="ar"/>
              </w:rPr>
              <w:t>乡镇</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2024年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49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额尔登布拉格苏木农村消防站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乡镇志愿消防队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2025年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r>
              <w:rPr>
                <w:rFonts w:hint="eastAsia" w:ascii="宋体" w:hAnsi="宋体" w:cs="宋体"/>
                <w:i w:val="0"/>
                <w:color w:val="000000"/>
                <w:sz w:val="21"/>
                <w:szCs w:val="21"/>
                <w:u w:val="none"/>
                <w:lang w:val="en-US" w:eastAsia="zh-CN"/>
              </w:rPr>
              <w:t>1</w:t>
            </w:r>
          </w:p>
        </w:tc>
      </w:tr>
      <w:tr>
        <w:tblPrEx>
          <w:tblCellMar>
            <w:top w:w="0" w:type="dxa"/>
            <w:left w:w="0" w:type="dxa"/>
            <w:bottom w:w="0" w:type="dxa"/>
            <w:right w:w="0" w:type="dxa"/>
          </w:tblCellMar>
        </w:tblPrEx>
        <w:trPr>
          <w:trHeight w:val="509"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1"/>
                <w:szCs w:val="21"/>
                <w:u w:val="none"/>
              </w:rPr>
            </w:pP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w:t>
            </w:r>
          </w:p>
        </w:tc>
      </w:tr>
    </w:tbl>
    <w:p>
      <w:pP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0" w:type="dxa"/>
        <w:shd w:val="clear" w:color="auto" w:fill="auto"/>
        <w:tblLayout w:type="autofit"/>
        <w:tblCellMar>
          <w:top w:w="0" w:type="dxa"/>
          <w:left w:w="0" w:type="dxa"/>
          <w:bottom w:w="0" w:type="dxa"/>
          <w:right w:w="0" w:type="dxa"/>
        </w:tblCellMar>
      </w:tblPr>
      <w:tblGrid>
        <w:gridCol w:w="450"/>
        <w:gridCol w:w="1392"/>
        <w:gridCol w:w="4183"/>
        <w:gridCol w:w="1507"/>
        <w:gridCol w:w="452"/>
        <w:gridCol w:w="451"/>
        <w:gridCol w:w="1296"/>
        <w:gridCol w:w="1295"/>
        <w:gridCol w:w="2822"/>
      </w:tblGrid>
      <w:tr>
        <w:tblPrEx>
          <w:tblCellMar>
            <w:top w:w="0" w:type="dxa"/>
            <w:left w:w="0" w:type="dxa"/>
            <w:bottom w:w="0" w:type="dxa"/>
            <w:right w:w="0" w:type="dxa"/>
          </w:tblCellMar>
        </w:tblPrEx>
        <w:trPr>
          <w:trHeight w:val="1183"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52"/>
                <w:szCs w:val="52"/>
                <w:u w:val="none"/>
              </w:rPr>
            </w:pPr>
            <w:r>
              <w:rPr>
                <w:rFonts w:hint="eastAsia" w:ascii="黑体" w:hAnsi="宋体" w:eastAsia="黑体" w:cs="黑体"/>
                <w:b/>
                <w:i w:val="0"/>
                <w:color w:val="000000"/>
                <w:kern w:val="0"/>
                <w:sz w:val="32"/>
                <w:szCs w:val="32"/>
                <w:u w:val="none"/>
                <w:lang w:val="en-US" w:eastAsia="zh-CN" w:bidi="ar"/>
              </w:rPr>
              <w:t>附件6：“十四五”规划新建城市政府专职消防队统计表</w:t>
            </w:r>
          </w:p>
        </w:tc>
      </w:tr>
      <w:tr>
        <w:tblPrEx>
          <w:tblCellMar>
            <w:top w:w="0" w:type="dxa"/>
            <w:left w:w="0" w:type="dxa"/>
            <w:bottom w:w="0" w:type="dxa"/>
            <w:right w:w="0" w:type="dxa"/>
          </w:tblCellMar>
        </w:tblPrEx>
        <w:trPr>
          <w:trHeight w:val="414"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3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地区</w:t>
            </w:r>
          </w:p>
        </w:tc>
        <w:tc>
          <w:tcPr>
            <w:tcW w:w="416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新建城市政府专职队名称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队站等级</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应配人数</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规划建队时间</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规划配备人数</w:t>
            </w:r>
          </w:p>
        </w:tc>
        <w:tc>
          <w:tcPr>
            <w:tcW w:w="28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规划人员招录时间</w:t>
            </w:r>
          </w:p>
        </w:tc>
      </w:tr>
      <w:tr>
        <w:tblPrEx>
          <w:tblCellMar>
            <w:top w:w="0" w:type="dxa"/>
            <w:left w:w="0" w:type="dxa"/>
            <w:bottom w:w="0" w:type="dxa"/>
            <w:right w:w="0" w:type="dxa"/>
          </w:tblCellMar>
        </w:tblPrEx>
        <w:trPr>
          <w:trHeight w:val="414"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13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416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下限</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上限</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28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FF0000"/>
                <w:sz w:val="21"/>
                <w:szCs w:val="21"/>
                <w:u w:val="none"/>
              </w:rPr>
            </w:pP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1</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临河区</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乌拉特大街政府专职队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小型</w:t>
            </w:r>
            <w:r>
              <w:rPr>
                <w:rFonts w:hint="eastAsia" w:ascii="宋体" w:hAnsi="宋体" w:eastAsia="宋体" w:cs="宋体"/>
                <w:i w:val="0"/>
                <w:color w:val="000000"/>
                <w:kern w:val="0"/>
                <w:sz w:val="21"/>
                <w:szCs w:val="21"/>
                <w:u w:val="none"/>
                <w:lang w:val="en-US" w:eastAsia="zh-CN" w:bidi="ar"/>
              </w:rPr>
              <w:t>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2025</w:t>
            </w:r>
          </w:p>
        </w:tc>
      </w:tr>
      <w:tr>
        <w:tblPrEx>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2</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乌拉特前旗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乌拉前旗工业园区</w:t>
            </w:r>
            <w:r>
              <w:rPr>
                <w:rFonts w:hint="eastAsia" w:ascii="宋体" w:hAnsi="宋体" w:cs="宋体"/>
                <w:i w:val="0"/>
                <w:color w:val="000000"/>
                <w:kern w:val="0"/>
                <w:sz w:val="21"/>
                <w:szCs w:val="21"/>
                <w:u w:val="none"/>
                <w:lang w:val="en-US" w:eastAsia="zh-CN" w:bidi="ar"/>
              </w:rPr>
              <w:t>政府</w:t>
            </w:r>
            <w:r>
              <w:rPr>
                <w:rFonts w:hint="eastAsia" w:ascii="宋体" w:hAnsi="宋体" w:eastAsia="宋体" w:cs="宋体"/>
                <w:i w:val="0"/>
                <w:color w:val="000000"/>
                <w:kern w:val="0"/>
                <w:sz w:val="21"/>
                <w:szCs w:val="21"/>
                <w:u w:val="none"/>
                <w:lang w:val="en-US" w:eastAsia="zh-CN" w:bidi="ar"/>
              </w:rPr>
              <w:t>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一级普通消防站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2022</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2022</w:t>
            </w:r>
          </w:p>
        </w:tc>
      </w:tr>
      <w:tr>
        <w:tblPrEx>
          <w:tblCellMar>
            <w:top w:w="0" w:type="dxa"/>
            <w:left w:w="0" w:type="dxa"/>
            <w:bottom w:w="0" w:type="dxa"/>
            <w:right w:w="0" w:type="dxa"/>
          </w:tblCellMar>
        </w:tblPrEx>
        <w:trPr>
          <w:trHeight w:val="79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3</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乌拉特后旗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呼和温都尔镇</w:t>
            </w:r>
            <w:r>
              <w:rPr>
                <w:rFonts w:hint="eastAsia" w:ascii="宋体" w:hAnsi="宋体" w:eastAsia="宋体" w:cs="宋体"/>
                <w:i w:val="0"/>
                <w:color w:val="000000"/>
                <w:kern w:val="0"/>
                <w:sz w:val="21"/>
                <w:szCs w:val="21"/>
                <w:u w:val="none"/>
                <w:lang w:val="en-US" w:eastAsia="zh-CN" w:bidi="ar"/>
              </w:rPr>
              <w:t>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二级普通消防站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tblPrEx>
          <w:tblCellMar>
            <w:top w:w="0" w:type="dxa"/>
            <w:left w:w="0" w:type="dxa"/>
            <w:bottom w:w="0" w:type="dxa"/>
            <w:right w:w="0" w:type="dxa"/>
          </w:tblCellMar>
        </w:tblPrEx>
        <w:trPr>
          <w:trHeight w:val="4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4</w:t>
            </w:r>
          </w:p>
        </w:tc>
        <w:tc>
          <w:tcPr>
            <w:tcW w:w="1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乌拉特中旗</w:t>
            </w:r>
          </w:p>
        </w:tc>
        <w:tc>
          <w:tcPr>
            <w:tcW w:w="41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甘其毛都口岸政府专职队</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二级普通</w:t>
            </w:r>
            <w:r>
              <w:rPr>
                <w:rFonts w:hint="eastAsia" w:ascii="宋体" w:hAnsi="宋体" w:cs="宋体"/>
                <w:i w:val="0"/>
                <w:color w:val="000000"/>
                <w:kern w:val="0"/>
                <w:sz w:val="21"/>
                <w:szCs w:val="21"/>
                <w:u w:val="none"/>
                <w:lang w:val="en-US" w:eastAsia="zh-CN" w:bidi="ar"/>
              </w:rPr>
              <w:t>消防</w:t>
            </w:r>
            <w:r>
              <w:rPr>
                <w:rFonts w:hint="eastAsia" w:ascii="宋体" w:hAnsi="宋体" w:eastAsia="宋体" w:cs="宋体"/>
                <w:i w:val="0"/>
                <w:color w:val="000000"/>
                <w:kern w:val="0"/>
                <w:sz w:val="21"/>
                <w:szCs w:val="21"/>
                <w:u w:val="none"/>
                <w:lang w:val="en-US" w:eastAsia="zh-CN" w:bidi="ar"/>
              </w:rPr>
              <w:t>站</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2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1"/>
                <w:szCs w:val="21"/>
                <w:u w:val="none"/>
              </w:rPr>
            </w:pPr>
            <w:r>
              <w:rPr>
                <w:rFonts w:hint="eastAsia" w:ascii="宋体" w:hAnsi="宋体" w:eastAsia="宋体" w:cs="宋体"/>
                <w:i w:val="0"/>
                <w:color w:val="000000"/>
                <w:kern w:val="0"/>
                <w:sz w:val="21"/>
                <w:szCs w:val="21"/>
                <w:u w:val="none"/>
                <w:lang w:val="en-US" w:eastAsia="zh-CN" w:bidi="ar"/>
              </w:rPr>
              <w:t>2021</w:t>
            </w:r>
          </w:p>
        </w:tc>
      </w:tr>
      <w:tr>
        <w:tblPrEx>
          <w:tblCellMar>
            <w:top w:w="0" w:type="dxa"/>
            <w:left w:w="0" w:type="dxa"/>
            <w:bottom w:w="0" w:type="dxa"/>
            <w:right w:w="0" w:type="dxa"/>
          </w:tblCellMar>
        </w:tblPrEx>
        <w:trPr>
          <w:trHeight w:val="42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备注</w:t>
            </w:r>
          </w:p>
        </w:tc>
        <w:tc>
          <w:tcPr>
            <w:tcW w:w="13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rPr>
                <w:rFonts w:hint="eastAsia" w:ascii="宋体" w:hAnsi="宋体" w:eastAsia="宋体" w:cs="宋体"/>
                <w:i w:val="0"/>
                <w:color w:val="000000"/>
                <w:sz w:val="21"/>
                <w:szCs w:val="21"/>
                <w:u w:val="none"/>
              </w:rPr>
            </w:pPr>
          </w:p>
        </w:tc>
        <w:tc>
          <w:tcPr>
            <w:tcW w:w="1200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1"/>
                <w:szCs w:val="21"/>
                <w:u w:val="none"/>
              </w:rPr>
            </w:pPr>
          </w:p>
        </w:tc>
      </w:tr>
    </w:tbl>
    <w:p>
      <w:pPr>
        <w:rPr>
          <w:rFonts w:hint="eastAsia"/>
          <w:lang w:eastAsia="zh-CN"/>
        </w:rPr>
      </w:pPr>
      <w:r>
        <w:rPr>
          <w:rFonts w:hint="eastAsia" w:ascii="宋体" w:hAnsi="宋体" w:eastAsia="宋体" w:cs="宋体"/>
          <w:i w:val="0"/>
          <w:color w:val="000000"/>
          <w:sz w:val="24"/>
          <w:szCs w:val="24"/>
          <w:u w:val="none"/>
          <w:lang w:eastAsia="zh-CN"/>
        </w:rPr>
        <w:br w:type="page"/>
      </w:r>
    </w:p>
    <w:tbl>
      <w:tblPr>
        <w:tblStyle w:val="12"/>
        <w:tblW w:w="0" w:type="auto"/>
        <w:tblInd w:w="93" w:type="dxa"/>
        <w:shd w:val="clear" w:color="auto" w:fill="auto"/>
        <w:tblLayout w:type="autofit"/>
        <w:tblCellMar>
          <w:top w:w="0" w:type="dxa"/>
          <w:left w:w="108" w:type="dxa"/>
          <w:bottom w:w="0" w:type="dxa"/>
          <w:right w:w="108" w:type="dxa"/>
        </w:tblCellMar>
      </w:tblPr>
      <w:tblGrid>
        <w:gridCol w:w="660"/>
        <w:gridCol w:w="1756"/>
        <w:gridCol w:w="829"/>
        <w:gridCol w:w="732"/>
        <w:gridCol w:w="900"/>
        <w:gridCol w:w="732"/>
        <w:gridCol w:w="564"/>
        <w:gridCol w:w="732"/>
        <w:gridCol w:w="564"/>
        <w:gridCol w:w="732"/>
        <w:gridCol w:w="732"/>
        <w:gridCol w:w="732"/>
        <w:gridCol w:w="732"/>
        <w:gridCol w:w="984"/>
        <w:gridCol w:w="732"/>
        <w:gridCol w:w="1068"/>
        <w:gridCol w:w="900"/>
      </w:tblGrid>
      <w:tr>
        <w:tblPrEx>
          <w:tblCellMar>
            <w:top w:w="0" w:type="dxa"/>
            <w:left w:w="108" w:type="dxa"/>
            <w:bottom w:w="0" w:type="dxa"/>
            <w:right w:w="108" w:type="dxa"/>
          </w:tblCellMar>
        </w:tblPrEx>
        <w:trPr>
          <w:trHeight w:val="300" w:hRule="atLeast"/>
        </w:trPr>
        <w:tc>
          <w:tcPr>
            <w:tcW w:w="14081" w:type="dxa"/>
            <w:gridSpan w:val="17"/>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eastAsia" w:ascii="宋体" w:hAnsi="宋体" w:eastAsia="宋体" w:cs="宋体"/>
                <w:i w:val="0"/>
                <w:iCs w:val="0"/>
                <w:color w:val="000000"/>
                <w:kern w:val="0"/>
                <w:sz w:val="18"/>
                <w:szCs w:val="18"/>
                <w:u w:val="none"/>
                <w:lang w:val="en-US" w:eastAsia="zh-CN" w:bidi="ar"/>
              </w:rPr>
            </w:pPr>
            <w:bookmarkStart w:id="81" w:name="_GoBack"/>
            <w:r>
              <w:rPr>
                <w:rFonts w:hint="eastAsia" w:ascii="黑体" w:hAnsi="宋体" w:eastAsia="黑体" w:cs="黑体"/>
                <w:b/>
                <w:bCs/>
                <w:i w:val="0"/>
                <w:iCs w:val="0"/>
                <w:color w:val="000000"/>
                <w:kern w:val="0"/>
                <w:sz w:val="32"/>
                <w:szCs w:val="32"/>
                <w:u w:val="none"/>
                <w:lang w:val="en-US" w:eastAsia="zh-CN" w:bidi="ar"/>
              </w:rPr>
              <w:t>附件7：</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十四五</w:t>
            </w:r>
            <w:r>
              <w:rPr>
                <w:rFonts w:hint="default" w:ascii="Times New Roman" w:hAnsi="Times New Roman" w:eastAsia="黑体" w:cs="Times New Roman"/>
                <w:b/>
                <w:bCs/>
                <w:i w:val="0"/>
                <w:iCs w:val="0"/>
                <w:color w:val="000000"/>
                <w:kern w:val="0"/>
                <w:sz w:val="32"/>
                <w:szCs w:val="32"/>
                <w:u w:val="none"/>
                <w:lang w:val="en-US" w:eastAsia="zh-CN" w:bidi="ar"/>
              </w:rPr>
              <w:t>”</w:t>
            </w:r>
            <w:r>
              <w:rPr>
                <w:rFonts w:hint="eastAsia" w:ascii="黑体" w:hAnsi="宋体" w:eastAsia="黑体" w:cs="黑体"/>
                <w:b/>
                <w:bCs/>
                <w:i w:val="0"/>
                <w:iCs w:val="0"/>
                <w:color w:val="000000"/>
                <w:kern w:val="0"/>
                <w:sz w:val="32"/>
                <w:szCs w:val="32"/>
                <w:u w:val="none"/>
                <w:lang w:val="en-US" w:eastAsia="zh-CN" w:bidi="ar"/>
              </w:rPr>
              <w:t>时期政府专职队消防救援车辆装备建设规划表</w:t>
            </w:r>
            <w:bookmarkEnd w:id="81"/>
          </w:p>
        </w:tc>
      </w:tr>
      <w:tr>
        <w:tblPrEx>
          <w:shd w:val="clear" w:color="auto" w:fill="auto"/>
          <w:tblCellMar>
            <w:top w:w="0" w:type="dxa"/>
            <w:left w:w="108" w:type="dxa"/>
            <w:bottom w:w="0" w:type="dxa"/>
            <w:right w:w="108" w:type="dxa"/>
          </w:tblCellMar>
        </w:tblPrEx>
        <w:trPr>
          <w:trHeight w:val="300" w:hRule="atLeast"/>
        </w:trPr>
        <w:tc>
          <w:tcPr>
            <w:tcW w:w="0" w:type="auto"/>
            <w:vMerge w:val="restart"/>
            <w:tcBorders>
              <w:top w:val="single" w:color="000000" w:sz="4" w:space="0"/>
              <w:left w:val="single" w:color="000000" w:sz="4"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w:t>
            </w:r>
          </w:p>
        </w:tc>
        <w:tc>
          <w:tcPr>
            <w:tcW w:w="1756" w:type="dxa"/>
            <w:vMerge w:val="restart"/>
            <w:tcBorders>
              <w:top w:val="single" w:color="000000"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队站名称</w:t>
            </w:r>
          </w:p>
        </w:tc>
        <w:tc>
          <w:tcPr>
            <w:tcW w:w="11665" w:type="dxa"/>
            <w:gridSpan w:val="15"/>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全区消防车辆配备（单位：台）</w:t>
            </w:r>
          </w:p>
        </w:tc>
      </w:tr>
      <w:tr>
        <w:tblPrEx>
          <w:shd w:val="clear" w:color="auto" w:fill="auto"/>
          <w:tblCellMar>
            <w:top w:w="0" w:type="dxa"/>
            <w:left w:w="108" w:type="dxa"/>
            <w:bottom w:w="0" w:type="dxa"/>
            <w:right w:w="108" w:type="dxa"/>
          </w:tblCellMar>
        </w:tblPrEx>
        <w:trPr>
          <w:trHeight w:val="666"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3193"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灭火类</w:t>
            </w:r>
          </w:p>
        </w:tc>
        <w:tc>
          <w:tcPr>
            <w:tcW w:w="0" w:type="auto"/>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举高</w:t>
            </w:r>
            <w:r>
              <w:rPr>
                <w:rFonts w:hint="eastAsia" w:ascii="宋体" w:hAnsi="宋体" w:eastAsia="宋体" w:cs="宋体"/>
                <w:i w:val="0"/>
                <w:iCs w:val="0"/>
                <w:color w:val="000000"/>
                <w:kern w:val="0"/>
                <w:sz w:val="18"/>
                <w:szCs w:val="18"/>
                <w:u w:val="none"/>
                <w:lang w:val="en-US" w:eastAsia="zh-CN" w:bidi="ar"/>
              </w:rPr>
              <w:t>类</w:t>
            </w:r>
          </w:p>
        </w:tc>
        <w:tc>
          <w:tcPr>
            <w:tcW w:w="0" w:type="auto"/>
            <w:gridSpan w:val="7"/>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专勤类</w:t>
            </w:r>
          </w:p>
        </w:tc>
        <w:tc>
          <w:tcPr>
            <w:tcW w:w="0" w:type="auto"/>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其他类</w:t>
            </w:r>
          </w:p>
        </w:tc>
      </w:tr>
      <w:tr>
        <w:tblPrEx>
          <w:shd w:val="clear" w:color="auto" w:fill="auto"/>
          <w:tblCellMar>
            <w:top w:w="0" w:type="dxa"/>
            <w:left w:w="108" w:type="dxa"/>
            <w:bottom w:w="0" w:type="dxa"/>
            <w:right w:w="108" w:type="dxa"/>
          </w:tblCellMar>
        </w:tblPrEx>
        <w:trPr>
          <w:trHeight w:val="735" w:hRule="atLeast"/>
        </w:trPr>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175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水罐消防车或泡沫消防车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干粉消防车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压缩空气泡沫车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多剂联用车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高喷车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登高平台车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云梯车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抢险救援车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排烟消防车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照明消防车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防化洗消车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核生化侦检消防车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通信指挥车</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化学事故抢险救援车</w:t>
            </w: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其他新型消防车</w:t>
            </w:r>
          </w:p>
        </w:tc>
      </w:tr>
      <w:tr>
        <w:tblPrEx>
          <w:shd w:val="clear" w:color="auto" w:fill="auto"/>
          <w:tblCellMar>
            <w:top w:w="0" w:type="dxa"/>
            <w:left w:w="108" w:type="dxa"/>
            <w:bottom w:w="0" w:type="dxa"/>
            <w:right w:w="108" w:type="dxa"/>
          </w:tblCellMar>
        </w:tblPrEx>
        <w:trPr>
          <w:trHeight w:val="608" w:hRule="atLeast"/>
        </w:trPr>
        <w:tc>
          <w:tcPr>
            <w:tcW w:w="0" w:type="auto"/>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val="0"/>
                <w:bCs w:val="0"/>
                <w:i w:val="0"/>
                <w:iCs w:val="0"/>
                <w:color w:val="000000"/>
                <w:sz w:val="18"/>
                <w:szCs w:val="18"/>
                <w:u w:val="none"/>
              </w:rPr>
            </w:pPr>
            <w:r>
              <w:rPr>
                <w:rFonts w:hint="default" w:ascii="Times New Roman" w:hAnsi="Times New Roman" w:eastAsia="宋体" w:cs="Times New Roman"/>
                <w:b w:val="0"/>
                <w:bCs w:val="0"/>
                <w:i w:val="0"/>
                <w:iCs w:val="0"/>
                <w:color w:val="000000"/>
                <w:kern w:val="0"/>
                <w:sz w:val="18"/>
                <w:szCs w:val="18"/>
                <w:u w:val="none"/>
                <w:lang w:val="en-US" w:eastAsia="zh-CN" w:bidi="ar"/>
              </w:rPr>
              <w:t>2021</w:t>
            </w:r>
          </w:p>
        </w:tc>
        <w:tc>
          <w:tcPr>
            <w:tcW w:w="17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8"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13"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04"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b/>
                <w:bCs/>
                <w:i w:val="0"/>
                <w:iCs w:val="0"/>
                <w:color w:val="000000"/>
                <w:sz w:val="18"/>
                <w:szCs w:val="18"/>
                <w:u w:val="none"/>
              </w:rPr>
            </w:pPr>
          </w:p>
        </w:tc>
        <w:tc>
          <w:tcPr>
            <w:tcW w:w="1756"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457" w:hRule="atLeast"/>
        </w:trPr>
        <w:tc>
          <w:tcPr>
            <w:tcW w:w="0" w:type="auto"/>
            <w:vMerge w:val="restart"/>
            <w:tcBorders>
              <w:top w:val="single" w:color="000000" w:sz="8"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1756"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47" w:hRule="atLeast"/>
        </w:trPr>
        <w:tc>
          <w:tcPr>
            <w:tcW w:w="0" w:type="auto"/>
            <w:vMerge w:val="continue"/>
            <w:tcBorders>
              <w:top w:val="single" w:color="000000" w:sz="8" w:space="0"/>
              <w:left w:val="single" w:color="000000" w:sz="4"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30" w:hRule="atLeast"/>
        </w:trPr>
        <w:tc>
          <w:tcPr>
            <w:tcW w:w="0" w:type="auto"/>
            <w:vMerge w:val="continue"/>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2023</w:t>
            </w: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1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706"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85"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2024</w:t>
            </w: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6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30" w:hRule="atLeast"/>
        </w:trPr>
        <w:tc>
          <w:tcPr>
            <w:tcW w:w="0" w:type="auto"/>
            <w:vMerge w:val="restart"/>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2025</w:t>
            </w: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临河区乌拉特大街政府专职队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auto"/>
                <w:sz w:val="18"/>
                <w:szCs w:val="18"/>
                <w:u w:val="none"/>
              </w:rPr>
            </w:pPr>
            <w:r>
              <w:rPr>
                <w:rFonts w:hint="default" w:ascii="Times New Roman" w:hAnsi="Times New Roman" w:eastAsia="宋体" w:cs="Times New Roman"/>
                <w:i w:val="0"/>
                <w:iCs w:val="0"/>
                <w:color w:val="auto"/>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auto"/>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54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乌拉特前旗工业园区政府专职队</w:t>
            </w:r>
          </w:p>
        </w:tc>
        <w:tc>
          <w:tcPr>
            <w:tcW w:w="829" w:type="dxa"/>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single" w:color="000000" w:sz="4" w:space="0"/>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后旗呼和温都尔镇政府专职队</w:t>
            </w:r>
          </w:p>
        </w:tc>
        <w:tc>
          <w:tcPr>
            <w:tcW w:w="829" w:type="dxa"/>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single" w:color="000000" w:sz="4" w:space="0"/>
              <w:left w:val="nil"/>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690" w:hRule="atLeast"/>
        </w:trPr>
        <w:tc>
          <w:tcPr>
            <w:tcW w:w="0" w:type="auto"/>
            <w:vMerge w:val="continue"/>
            <w:tcBorders>
              <w:top w:val="single" w:color="000000" w:sz="8" w:space="0"/>
              <w:left w:val="single" w:color="000000" w:sz="8" w:space="0"/>
              <w:bottom w:val="single" w:color="000000" w:sz="8"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1756" w:type="dxa"/>
            <w:tcBorders>
              <w:top w:val="nil"/>
              <w:left w:val="single" w:color="000000" w:sz="4"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甘其毛都口岸政府专职队</w:t>
            </w:r>
          </w:p>
        </w:tc>
        <w:tc>
          <w:tcPr>
            <w:tcW w:w="829" w:type="dxa"/>
            <w:tcBorders>
              <w:top w:val="nil"/>
              <w:left w:val="nil"/>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Times New Roman" w:hAnsi="Times New Roman" w:eastAsia="宋体" w:cs="Times New Roman"/>
                <w:i w:val="0"/>
                <w:iCs w:val="0"/>
                <w:color w:val="000000"/>
                <w:sz w:val="18"/>
                <w:szCs w:val="18"/>
                <w:u w:val="none"/>
              </w:rPr>
            </w:pPr>
          </w:p>
        </w:tc>
        <w:tc>
          <w:tcPr>
            <w:tcW w:w="0" w:type="auto"/>
            <w:tcBorders>
              <w:top w:val="nil"/>
              <w:left w:val="nil"/>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i w:val="0"/>
                <w:iCs w:val="0"/>
                <w:color w:val="000000"/>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0" w:type="auto"/>
            <w:tcBorders>
              <w:top w:val="nil"/>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总合计</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default" w:ascii="宋体" w:hAnsi="宋体" w:eastAsia="宋体" w:cs="宋体"/>
                <w:b/>
                <w:bCs/>
                <w:i w:val="0"/>
                <w:iCs w:val="0"/>
                <w:color w:val="000000"/>
                <w:sz w:val="18"/>
                <w:szCs w:val="18"/>
                <w:u w:val="none"/>
                <w:lang w:val="en-US" w:eastAsia="zh-CN"/>
              </w:rPr>
            </w:pPr>
            <w:r>
              <w:rPr>
                <w:rFonts w:hint="eastAsia" w:ascii="宋体" w:hAnsi="宋体" w:cs="宋体"/>
                <w:b/>
                <w:bCs/>
                <w:i w:val="0"/>
                <w:iCs w:val="0"/>
                <w:color w:val="000000"/>
                <w:sz w:val="18"/>
                <w:szCs w:val="18"/>
                <w:u w:val="none"/>
                <w:lang w:val="en-US" w:eastAsia="zh-CN"/>
              </w:rPr>
              <w:t>14</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20" w:lineRule="exact"/>
              <w:jc w:val="center"/>
              <w:rPr>
                <w:rFonts w:hint="eastAsia" w:ascii="宋体" w:hAnsi="宋体" w:eastAsia="宋体" w:cs="宋体"/>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宋体" w:cs="Times New Roman"/>
                <w:b/>
                <w:bCs/>
                <w:i w:val="0"/>
                <w:iCs w:val="0"/>
                <w:color w:val="000000"/>
                <w:sz w:val="18"/>
                <w:szCs w:val="18"/>
                <w:u w:val="none"/>
              </w:rPr>
            </w:pPr>
          </w:p>
        </w:tc>
      </w:tr>
    </w:tbl>
    <w:p>
      <w:pPr>
        <w:widowControl/>
        <w:adjustRightInd/>
        <w:snapToGrid/>
        <w:spacing w:after="0"/>
        <w:jc w:val="center"/>
        <w:rPr>
          <w:rFonts w:hint="eastAsia" w:ascii="Times New Roman" w:hAnsi="Times New Roman" w:eastAsia="宋体" w:cs="Times New Roman"/>
          <w:kern w:val="0"/>
          <w:sz w:val="18"/>
          <w:szCs w:val="22"/>
          <w:lang w:eastAsia="zh-CN"/>
        </w:rPr>
      </w:pPr>
    </w:p>
    <w:sectPr>
      <w:pgSz w:w="16838" w:h="11906" w:orient="landscape"/>
      <w:pgMar w:top="1803" w:right="1440" w:bottom="1803" w:left="1440" w:header="851" w:footer="992" w:gutter="0"/>
      <w:pgBorders>
        <w:top w:val="none" w:sz="0" w:space="0"/>
        <w:left w:val="none" w:sz="0" w:space="0"/>
        <w:bottom w:val="none" w:sz="0" w:space="0"/>
        <w:right w:val="none" w:sz="0" w:space="0"/>
      </w:pgBorders>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Century Gothic"/>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09F" w:csb1="00000000"/>
  </w:font>
  <w:font w:name="MingLiU">
    <w:panose1 w:val="02020309000000000000"/>
    <w:charset w:val="88"/>
    <w:family w:val="modern"/>
    <w:pitch w:val="default"/>
    <w:sig w:usb0="00000003" w:usb1="082E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506020202030204"/>
    <w:charset w:val="00"/>
    <w:family w:val="auto"/>
    <w:pitch w:val="default"/>
    <w:sig w:usb0="00000287" w:usb1="00000000" w:usb2="00000000" w:usb3="00000000" w:csb0="200000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265"/>
        <w:tab w:val="clear" w:pos="4153"/>
        <w:tab w:val="clear" w:pos="8306"/>
      </w:tabs>
      <w:rPr>
        <w:rStyle w:val="21"/>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a:effectLst/>
                    </wps:spPr>
                    <wps:txbx>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63360;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&#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ZpPZA0gAAAAUBAAAPAAAAAAAAAAEAIAAAADgAAABk&#10;cnMvZG93bnJldi54bWxQSwECFAAUAAAACACHTuJAY+U8gPYBAADTAwAADgAAAAAAAAABACAAAAA3&#10;AQAAZHJzL2Uyb0RvYy54bWxQSwUGAAAAAAYABgBZAQAAnwUAAAAA&#10;">
              <v:fill on="f" focussize="0,0"/>
              <v:stroke on="f"/>
              <v:imagedata o:title=""/>
              <o:lock v:ext="edit" aspectratio="f"/>
              <v:textbox inset="0mm,0mm,0mm,0mm">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3265"/>
        <w:tab w:val="clear" w:pos="4153"/>
        <w:tab w:val="clear" w:pos="8306"/>
      </w:tabs>
      <w:rPr>
        <w:rStyle w:val="21"/>
      </w:rP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5VQQhIgIAADc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Y6+ItGhDxO7OpcepdBtu77V&#10;rSmP6NSZM1W85asGpayZD0/MgRsoH3wPjzgqaZDS9BIltXGf/vYe/TEyWClpwbWCaiwDJfKtxigj&#10;LQfBDcJ2EPRe3RuQd4w9sjyJ+OCCHMTKGfURS7CMOSomPQIzzZENgxrE+wCtN2KZuFguL/reumZX&#10;Xz+DmJaFtd5Y3o86ouftch+AdhpCxOwMFIYXFbAzjbHfpEj/X/Xkdd33x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uVUEISICAAA3BAAADgAAAAAAAAABACAAAAA1AQAAZHJzL2Uyb0RvYy54&#10;bWxQSwUGAAAAAAYABgBZAQAAyQUAAAAA&#10;">
              <v:fill on="f" focussize="0,0"/>
              <v:stroke on="f" weight="0.5pt"/>
              <v:imagedata o:title=""/>
              <o:lock v:ext="edit" aspectratio="f"/>
              <v:textbox inset="0mm,0mm,0mm,0mm" style="mso-fit-shape-to-text:t;">
                <w:txbxContent>
                  <w:p>
                    <w:pPr>
                      <w:pStyle w:val="7"/>
                      <w:tabs>
                        <w:tab w:val="left" w:pos="3265"/>
                        <w:tab w:val="clear" w:pos="4153"/>
                        <w:tab w:val="clear" w:pos="8306"/>
                      </w:tabs>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a:effectLst/>
                    </wps:spPr>
                    <wps:txbx>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wps:txbx>
                    <wps:bodyPr rot="0" vert="horz" wrap="square" lIns="0" tIns="0" rIns="0" bIns="0" anchor="t" anchorCtr="false" upright="true">
                      <a:noAutofit/>
                    </wps:bodyPr>
                  </wps:wsp>
                </a:graphicData>
              </a:graphic>
            </wp:anchor>
          </w:drawing>
        </mc:Choice>
        <mc:Fallback>
          <w:pict>
            <v:shape id="_x0000_s1026" o:spid="_x0000_s1026" o:spt="202" type="#_x0000_t202" style="position:absolute;left:0pt;margin-top:0pt;height:144pt;width:144pt;mso-position-horizontal:center;mso-position-horizontal-relative:margin;z-index:251671552;mso-width-relative:page;mso-height-relative:page;" filled="f" stroked="f" coordsize="21600,21600" o:gfxdata="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BZpPZA0gAAAAUBAAAPAAAAAAAAAAEAIAAAADgAAABk&#10;cnMvZG93bnJldi54bWxQSwECFAAUAAAACACHTuJAx4QsCPYBAADTAwAADgAAAAAAAAABACAAAAA3&#10;AQAAZHJzL2Uyb0RvYy54bWxQSwUGAAAAAAYABgBZAQAAnwUAAAAA&#10;">
              <v:fill on="f" focussize="0,0"/>
              <v:stroke on="f"/>
              <v:imagedata o:title=""/>
              <o:lock v:ext="edit" aspectratio="f"/>
              <v:textbox inset="0mm,0mm,0mm,0mm">
                <w:txbxContent>
                  <w:p>
                    <w:pPr>
                      <w:pStyle w:val="7"/>
                      <w:tabs>
                        <w:tab w:val="left" w:pos="3265"/>
                        <w:tab w:val="clear" w:pos="4153"/>
                        <w:tab w:val="clear" w:pos="8306"/>
                      </w:tabs>
                      <w:rPr>
                        <w:rStyle w:val="21"/>
                        <w:rFonts w:ascii="Times New Roman" w:hAnsi="Times New Roman"/>
                        <w:sz w:val="28"/>
                        <w:szCs w:val="28"/>
                      </w:rPr>
                    </w:pPr>
                  </w:p>
                  <w:p>
                    <w:pPr>
                      <w:rPr>
                        <w:rStyle w:val="21"/>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upright="false">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l1uVLQAAAABQEAAA8AAAAAAAAAAQAgAAAAOAAAAGRycy9k&#10;b3ducmV2LnhtbFBLAQIUABQAAAAIAIdO4kBxyyfruwEAAFQDAAAOAAAAAAAAAAEAIAAAADUBAABk&#10;cnMvZTJvRG9jLnhtbFBLBQYAAAAABgAGAFkBAABi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abstractNum w:abstractNumId="1">
    <w:nsid w:val="344EDBB9"/>
    <w:multiLevelType w:val="singleLevel"/>
    <w:tmpl w:val="344EDBB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0257"/>
    <w:rsid w:val="021D01B2"/>
    <w:rsid w:val="023B1CD9"/>
    <w:rsid w:val="03095A83"/>
    <w:rsid w:val="03CF3EC1"/>
    <w:rsid w:val="068D5BA4"/>
    <w:rsid w:val="08671728"/>
    <w:rsid w:val="0AB94B2B"/>
    <w:rsid w:val="0B584153"/>
    <w:rsid w:val="0C9977F2"/>
    <w:rsid w:val="0DD16F70"/>
    <w:rsid w:val="0E6415BE"/>
    <w:rsid w:val="0FA931C6"/>
    <w:rsid w:val="10E54873"/>
    <w:rsid w:val="117834A9"/>
    <w:rsid w:val="11BD4A14"/>
    <w:rsid w:val="122272D0"/>
    <w:rsid w:val="128A2420"/>
    <w:rsid w:val="141E3FD7"/>
    <w:rsid w:val="15E41A8E"/>
    <w:rsid w:val="171E54BA"/>
    <w:rsid w:val="17B031CE"/>
    <w:rsid w:val="193A2187"/>
    <w:rsid w:val="1940425A"/>
    <w:rsid w:val="1AA07633"/>
    <w:rsid w:val="1B9F6A4E"/>
    <w:rsid w:val="1FD81A0E"/>
    <w:rsid w:val="23BE51DD"/>
    <w:rsid w:val="27031763"/>
    <w:rsid w:val="27255AD1"/>
    <w:rsid w:val="27894F8A"/>
    <w:rsid w:val="27C724D1"/>
    <w:rsid w:val="294A4411"/>
    <w:rsid w:val="2B895020"/>
    <w:rsid w:val="2BA72D19"/>
    <w:rsid w:val="2CCE75F5"/>
    <w:rsid w:val="2CE108DA"/>
    <w:rsid w:val="31733E0C"/>
    <w:rsid w:val="32403F16"/>
    <w:rsid w:val="32BD671D"/>
    <w:rsid w:val="333F17C2"/>
    <w:rsid w:val="35E32082"/>
    <w:rsid w:val="36011EC2"/>
    <w:rsid w:val="36FA437E"/>
    <w:rsid w:val="38107210"/>
    <w:rsid w:val="3941687A"/>
    <w:rsid w:val="39735244"/>
    <w:rsid w:val="3AD6672F"/>
    <w:rsid w:val="3AF90163"/>
    <w:rsid w:val="3D112A47"/>
    <w:rsid w:val="3D9A0712"/>
    <w:rsid w:val="3FD14E1F"/>
    <w:rsid w:val="4106097A"/>
    <w:rsid w:val="41370826"/>
    <w:rsid w:val="425E7C08"/>
    <w:rsid w:val="43616C72"/>
    <w:rsid w:val="440B3E05"/>
    <w:rsid w:val="45FD7C65"/>
    <w:rsid w:val="4AF06A91"/>
    <w:rsid w:val="4B2B6DA4"/>
    <w:rsid w:val="4CBB1D86"/>
    <w:rsid w:val="4E0C4FEC"/>
    <w:rsid w:val="4EE36960"/>
    <w:rsid w:val="50821183"/>
    <w:rsid w:val="50F628C1"/>
    <w:rsid w:val="50FB677C"/>
    <w:rsid w:val="511701B4"/>
    <w:rsid w:val="56E666DF"/>
    <w:rsid w:val="58A55FD9"/>
    <w:rsid w:val="5A6B0B49"/>
    <w:rsid w:val="5A75462C"/>
    <w:rsid w:val="5C5A142E"/>
    <w:rsid w:val="5E1702EE"/>
    <w:rsid w:val="5F49545C"/>
    <w:rsid w:val="60010883"/>
    <w:rsid w:val="60D410F1"/>
    <w:rsid w:val="62D35D27"/>
    <w:rsid w:val="63362E05"/>
    <w:rsid w:val="67945EDD"/>
    <w:rsid w:val="69864179"/>
    <w:rsid w:val="69BC3A45"/>
    <w:rsid w:val="6B1448C8"/>
    <w:rsid w:val="6B233516"/>
    <w:rsid w:val="6C613276"/>
    <w:rsid w:val="6DEC204B"/>
    <w:rsid w:val="6EDE346B"/>
    <w:rsid w:val="7050591F"/>
    <w:rsid w:val="773E05CE"/>
    <w:rsid w:val="77822FF8"/>
    <w:rsid w:val="77DEAF54"/>
    <w:rsid w:val="783E1615"/>
    <w:rsid w:val="78B52E92"/>
    <w:rsid w:val="79C75556"/>
    <w:rsid w:val="7A04063C"/>
    <w:rsid w:val="7D2B6ABD"/>
    <w:rsid w:val="7D8555F0"/>
    <w:rsid w:val="7E2A42E5"/>
    <w:rsid w:val="7ED12E71"/>
    <w:rsid w:val="7ED15849"/>
    <w:rsid w:val="7EE02E97"/>
    <w:rsid w:val="7FAF5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9"/>
    <w:pPr>
      <w:keepNext/>
      <w:keepLines/>
      <w:spacing w:before="260" w:after="260" w:line="416" w:lineRule="auto"/>
      <w:outlineLvl w:val="1"/>
    </w:pPr>
    <w:rPr>
      <w:rFonts w:ascii="Cambria" w:hAnsi="Cambria" w:eastAsia="宋体"/>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customStyle="1" w:styleId="2">
    <w:name w:val="UserStyle_0"/>
    <w:qFormat/>
    <w:uiPriority w:val="0"/>
    <w:pPr>
      <w:textAlignment w:val="baseline"/>
    </w:pPr>
    <w:rPr>
      <w:rFonts w:ascii="MingLiU" w:hAnsi="Times New Roman" w:eastAsia="MingLiU" w:cs="Times New Roman"/>
      <w:color w:val="000000"/>
      <w:sz w:val="24"/>
      <w:szCs w:val="24"/>
      <w:lang w:val="en-US" w:eastAsia="zh-CN" w:bidi="ar-SA"/>
    </w:rPr>
  </w:style>
  <w:style w:type="paragraph" w:styleId="5">
    <w:name w:val="Normal Indent"/>
    <w:basedOn w:val="1"/>
    <w:qFormat/>
    <w:uiPriority w:val="0"/>
    <w:pPr>
      <w:spacing w:line="300" w:lineRule="auto"/>
      <w:ind w:firstLine="482" w:firstLineChars="200"/>
    </w:pPr>
    <w:rPr>
      <w:rFonts w:ascii="宋体" w:hAnsi="Times New Roman" w:eastAsia="宋体"/>
      <w:snapToGrid w:val="0"/>
      <w:kern w:val="0"/>
      <w:sz w:val="24"/>
      <w:szCs w:val="20"/>
    </w:rPr>
  </w:style>
  <w:style w:type="paragraph" w:styleId="6">
    <w:name w:val="toc 3"/>
    <w:basedOn w:val="1"/>
    <w:next w:val="1"/>
    <w:qFormat/>
    <w:uiPriority w:val="0"/>
    <w:pPr>
      <w:ind w:left="840" w:leftChars="400"/>
    </w:p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4">
    <w:name w:val="标题3"/>
    <w:basedOn w:val="1"/>
    <w:next w:val="1"/>
    <w:qFormat/>
    <w:uiPriority w:val="0"/>
    <w:pPr>
      <w:autoSpaceDE w:val="0"/>
      <w:autoSpaceDN w:val="0"/>
      <w:snapToGrid w:val="0"/>
      <w:spacing w:line="590" w:lineRule="atLeast"/>
      <w:ind w:firstLine="624"/>
    </w:pPr>
    <w:rPr>
      <w:rFonts w:eastAsia="方正黑体_GBK"/>
      <w:snapToGrid w:val="0"/>
      <w:kern w:val="0"/>
      <w:sz w:val="32"/>
    </w:rPr>
  </w:style>
  <w:style w:type="character" w:customStyle="1" w:styleId="15">
    <w:name w:val="font71"/>
    <w:basedOn w:val="13"/>
    <w:qFormat/>
    <w:uiPriority w:val="0"/>
    <w:rPr>
      <w:rFonts w:hint="eastAsia" w:ascii="黑体" w:hAnsi="宋体" w:eastAsia="黑体" w:cs="黑体"/>
      <w:color w:val="000000"/>
      <w:sz w:val="24"/>
      <w:szCs w:val="24"/>
      <w:u w:val="none"/>
    </w:rPr>
  </w:style>
  <w:style w:type="character" w:customStyle="1" w:styleId="16">
    <w:name w:val="font11"/>
    <w:basedOn w:val="13"/>
    <w:qFormat/>
    <w:uiPriority w:val="0"/>
    <w:rPr>
      <w:rFonts w:hint="eastAsia" w:ascii="黑体" w:hAnsi="宋体" w:eastAsia="黑体" w:cs="黑体"/>
      <w:color w:val="000000"/>
      <w:sz w:val="20"/>
      <w:szCs w:val="20"/>
      <w:u w:val="none"/>
    </w:rPr>
  </w:style>
  <w:style w:type="character" w:customStyle="1" w:styleId="17">
    <w:name w:val="font61"/>
    <w:basedOn w:val="13"/>
    <w:qFormat/>
    <w:uiPriority w:val="0"/>
    <w:rPr>
      <w:rFonts w:hint="eastAsia" w:ascii="黑体" w:hAnsi="宋体" w:eastAsia="黑体" w:cs="黑体"/>
      <w:color w:val="000000"/>
      <w:sz w:val="40"/>
      <w:szCs w:val="40"/>
      <w:u w:val="none"/>
    </w:rPr>
  </w:style>
  <w:style w:type="character" w:customStyle="1" w:styleId="18">
    <w:name w:val="font51"/>
    <w:basedOn w:val="13"/>
    <w:qFormat/>
    <w:uiPriority w:val="0"/>
    <w:rPr>
      <w:rFonts w:hint="eastAsia" w:ascii="宋体" w:hAnsi="宋体" w:eastAsia="宋体" w:cs="宋体"/>
      <w:color w:val="000000"/>
      <w:sz w:val="24"/>
      <w:szCs w:val="24"/>
      <w:u w:val="none"/>
      <w:vertAlign w:val="superscript"/>
    </w:rPr>
  </w:style>
  <w:style w:type="character" w:customStyle="1" w:styleId="19">
    <w:name w:val="font21"/>
    <w:basedOn w:val="13"/>
    <w:qFormat/>
    <w:uiPriority w:val="0"/>
    <w:rPr>
      <w:rFonts w:hint="default" w:ascii="Tahoma" w:hAnsi="Tahoma" w:eastAsia="Tahoma" w:cs="Tahoma"/>
      <w:color w:val="000000"/>
      <w:sz w:val="24"/>
      <w:szCs w:val="24"/>
      <w:u w:val="none"/>
    </w:rPr>
  </w:style>
  <w:style w:type="character" w:customStyle="1" w:styleId="20">
    <w:name w:val="font81"/>
    <w:basedOn w:val="13"/>
    <w:qFormat/>
    <w:uiPriority w:val="0"/>
    <w:rPr>
      <w:rFonts w:hint="eastAsia" w:ascii="黑体" w:hAnsi="宋体" w:eastAsia="黑体" w:cs="黑体"/>
      <w:b/>
      <w:color w:val="000000"/>
      <w:sz w:val="32"/>
      <w:szCs w:val="32"/>
      <w:u w:val="none"/>
    </w:rPr>
  </w:style>
  <w:style w:type="character" w:customStyle="1" w:styleId="21">
    <w:name w:val="NormalCharacter"/>
    <w:qFormat/>
    <w:uiPriority w:val="0"/>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14195</Words>
  <Characters>14737</Characters>
  <Paragraphs>115</Paragraphs>
  <TotalTime>3</TotalTime>
  <ScaleCrop>false</ScaleCrop>
  <LinksUpToDate>false</LinksUpToDate>
  <CharactersWithSpaces>14781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2020-05-18T18:03:00Z</dcterms:created>
  <dc:creator>啊啦嘎嘎</dc:creator>
  <cp:lastModifiedBy>user</cp:lastModifiedBy>
  <cp:lastPrinted>2021-12-10T18:30:00Z</cp:lastPrinted>
  <dcterms:modified xsi:type="dcterms:W3CDTF">2021-12-14T19:22:25Z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KSOSaveFontToCloudKey">
    <vt:lpwstr>228584615_btnclosed</vt:lpwstr>
  </property>
  <property fmtid="{D5CDD505-2E9C-101B-9397-08002B2CF9AE}" pid="4" name="ICV">
    <vt:lpwstr>D672927E09E243599AD0D0B070809120</vt:lpwstr>
  </property>
</Properties>
</file>