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2"/>
          <w:szCs w:val="32"/>
        </w:rPr>
      </w:pPr>
      <w:bookmarkStart w:id="0" w:name="_GoBack"/>
      <w:r>
        <w:rPr>
          <w:rFonts w:hint="eastAsia"/>
          <w:b/>
          <w:bCs/>
          <w:sz w:val="32"/>
          <w:szCs w:val="32"/>
        </w:rPr>
        <w:t>巴彦淖尔市人民政府关于印发巴彦淖尔市妇女发展规划（2021-2030年）和巴彦淖尔市儿童发展规划（2021-2030年）的通知</w:t>
      </w:r>
    </w:p>
    <w:bookmarkEnd w:id="0"/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15" w:lineRule="atLeast"/>
        <w:ind w:left="0" w:firstLine="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各旗县区人民政府，巴彦淖尔经济技术开发区管委会，甘其毛都口岸管委会，市直各部门，驻市各单位，各直属企事业单位：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15" w:lineRule="atLeast"/>
        <w:ind w:left="0" w:firstLine="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　　《巴彦淖尔市妇女发展规划（2021-2030年）》和《巴彦淖尔市儿童发展规划（2021-2030年）》已经市政府2022年第10次常务会议审议通过，现印发给你们，请结合实际，认真贯彻落实。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15" w:lineRule="atLeast"/>
        <w:ind w:left="0" w:firstLine="0"/>
        <w:jc w:val="righ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巴彦淖尔市人民政府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15" w:lineRule="atLeast"/>
        <w:ind w:left="0" w:firstLine="0"/>
        <w:jc w:val="righ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2022年6月6日</w:t>
      </w:r>
    </w:p>
    <w:p>
      <w:pP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</w:pPr>
    </w:p>
    <w:p>
      <w:pPr>
        <w:rPr>
          <w:rFonts w:hint="default"/>
          <w:lang w:val="en-US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《巴彦淖尔市妇女发展规划（2021-2030年）》和《巴彦淖尔市儿童发展规划（2021-2030年）》见附件1、2。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C22C45"/>
    <w:rsid w:val="10C22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2023-11-07T08:14:00Z</dcterms:created>
  <dc:creator>风平浪静</dc:creator>
  <cp:lastModifiedBy>风平浪静</cp:lastModifiedBy>
  <dcterms:modified xsi:type="dcterms:W3CDTF">2023-11-07T08:18:31Z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