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</w:rPr>
        <w:t>巴彦淖尔市人民政府办公室关于印发《巴彦淖尔市“十四五”水安全保障规划》的通知</w:t>
      </w:r>
    </w:p>
    <w:bookmarkEnd w:id="0"/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各旗县区人民政府，巴彦淖尔经济技术开发区管委会，甘其毛都口岸管委会，市直各部门，驻市各单位，各直属企事业单位: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《巴彦淖尔市“十四五”水安全保障规划》已经市政府2022年第12次常务会议审议通过，现印发给你们，请结合实际，认真贯彻落实。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巴彦淖尔市人民政府办公室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48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2022年7月1日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48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</w:p>
    <w:p>
      <w:pPr>
        <w:rPr>
          <w:rFonts w:hint="default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《巴彦淖尔市“十四五”水安全保障规划》见附件。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907018"/>
    <w:rsid w:val="0990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2023-11-07T08:25:00Z</dcterms:created>
  <dc:creator>风平浪静</dc:creator>
  <cp:lastModifiedBy>风平浪静</cp:lastModifiedBy>
  <dcterms:modified xsi:type="dcterms:W3CDTF">2023-11-07T08:27:26Z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