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hd w:val="clear" w:fill="FFFFFF"/>
        <w:spacing w:before="75" w:beforeAutospacing="0" w:after="75" w:afterAutospacing="0" w:line="23" w:lineRule="atLeast"/>
        <w:ind w:left="0" w:firstLine="0"/>
        <w:jc w:val="center"/>
        <w:rPr>
          <w:rFonts w:hint="eastAsia"/>
          <w:b/>
          <w:bCs/>
          <w:sz w:val="44"/>
          <w:szCs w:val="44"/>
        </w:rPr>
      </w:pPr>
      <w:bookmarkStart w:id="0" w:name="_GoBack"/>
      <mc:AlternateContent>
        <mc:Choice Requires="wpsCustomData">
          <wpsCustomData:docfieldStart id="0" docfieldname="正文" hidden="0" print="1" readonly="0" index="10"/>
        </mc:Choice>
      </mc:AlternateContent>
      <w:r>
        <w:rPr>
          <w:rFonts w:hint="eastAsia"/>
          <w:b/>
          <w:bCs/>
          <w:sz w:val="44"/>
          <w:szCs w:val="44"/>
        </w:rPr>
        <w:t>巴彦淖尔市人民政府关于印发《巴彦淖尔市促进区域评估工作资金奖补实施方案》的通知</w:t>
      </w:r>
    </w:p>
    <w:bookmarkEnd w:id="0"/>
    <w:p>
      <w:pPr>
        <w:pStyle w:val="6"/>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32"/>
          <w:szCs w:val="32"/>
          <w:shd w:val="clear" w:fill="FFFFFF"/>
        </w:rPr>
      </w:pPr>
    </w:p>
    <w:p>
      <w:pPr>
        <w:pStyle w:val="6"/>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各旗县区人民政府，巴彦淖尔经济技术开发区管委会，市直有关部门： </w:t>
      </w:r>
    </w:p>
    <w:p>
      <w:pPr>
        <w:pStyle w:val="6"/>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根据工作需要，现将《巴彦淖尔市促进区域评估工作资金奖补实施方案》印发给你们，请结合实际，认真贯彻执行。 </w:t>
      </w:r>
    </w:p>
    <w:p>
      <w:pPr>
        <w:pStyle w:val="6"/>
        <w:keepNext w:val="0"/>
        <w:keepLines w:val="0"/>
        <w:widowControl/>
        <w:suppressLineNumbers w:val="0"/>
        <w:shd w:val="clear" w:fill="FFFFFF"/>
        <w:spacing w:before="75" w:beforeAutospacing="0" w:after="75" w:afterAutospacing="0" w:line="23" w:lineRule="atLeast"/>
        <w:ind w:left="0" w:firstLine="0"/>
        <w:jc w:val="both"/>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w:t>
      </w:r>
    </w:p>
    <w:p>
      <w:pPr>
        <w:pStyle w:val="6"/>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巴彦淖尔市人民政府</w:t>
      </w:r>
    </w:p>
    <w:p>
      <w:pPr>
        <w:keepNext w:val="0"/>
        <w:keepLines w:val="0"/>
        <w:widowControl/>
        <w:suppressLineNumbers w:val="0"/>
        <w:shd w:val="clear" w:fill="FFFFFF"/>
        <w:spacing w:before="75" w:beforeAutospacing="0" w:after="75" w:afterAutospacing="0" w:line="23" w:lineRule="atLeast"/>
        <w:ind w:left="0" w:firstLine="0"/>
        <w:jc w:val="righ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kern w:val="0"/>
          <w:sz w:val="32"/>
          <w:szCs w:val="32"/>
          <w:shd w:val="clear" w:fill="FFFFFF"/>
          <w:lang w:val="en-US" w:eastAsia="zh-CN" w:bidi="ar"/>
        </w:rPr>
        <w:t>2022年3月24日</w:t>
      </w:r>
    </w:p>
    <w:p>
      <w:pPr>
        <w:rPr>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巴彦淖尔市促进区域评估工作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资金奖补实施方案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_GB2312" w:cs="Times New Roman"/>
          <w:sz w:val="32"/>
          <w:szCs w:val="32"/>
          <w:lang w:val="en-US" w:eastAsia="zh-CN"/>
        </w:rPr>
        <w:t>区域评估工作是工程建设项目审批制度改革的重要举措，是推进政府职能转变和“放管服”改革、优化营商环境的重要内容。截止2022年1月25日，我市已完成各类区域评估事项41项（台账内21项，台账外20项），已纳入自治区台账的32项评估事项中仍有11项未完成。其中，气候可行性论证7项、地震安全性评价2项、水资源论证2项。为加快我市区域评估工作整体进度，缓解旗县财政压力，支持和激励各旗县、巴彦淖尔经济技术开发区尽快完成区域评估工作，经市政府研究，决定设立专项资金用于区域评估工作的奖补。为充分发挥好奖补资金的激励和使用效益，结合全市区域评估工作实际开展情况，制定以下奖补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资金奖补范围和金额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对各旗县区和巴彦淖尔经济技术开发区目前已完成和在规定时间期限内完成的具体区域评估事项进行奖补。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奖补资金预算总计1200万元。</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0" w:leftChars="0" w:firstLine="640" w:firstLineChars="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奖补原则和方式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分为两部分。一部分是奖励资金，用于奖励2022年1月25日前已经完成的区域评估事项；另一部分是激励性补贴资金，用于补贴按照“应评尽评、客观合理”原则已纳入自治区调度台账，评估费用较高、评估周期较长尚未完成的11个具体评估事项。具体原则和方式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全市2022年1月25日前已经完成的41项区域评估事项，每项奖励12万元。其中，乌拉特前旗2项（台账内2项）计24万元、乌拉特中旗13项（台账内3项、台账外10项）计156万元，乌拉特后旗6项（台账内5项、台账外1项）计72万元、杭锦后旗5项（台账内3项、台账外2项）计60万元、磴口县5项（台账内3项、台账外2项）计60万元、五原县3项（台账内2项、台账外1项）计36万元、临河区3项（台账外3项）计36万元、巴彦淖尔经济技术开发区4项（台账内3项、台账外1项）计48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奖励资金共计492万元。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2.已纳入自治区台账，目前尚未完成的11个区域评估事项，根据不同类型评估事项的费用多少和完成时间先后顺序进行奖补。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气候可行性论证：2022年2月底前完成的，每项奖补100万元；2022年3月底前完成的，每项奖补80万元；2022年4月底前完成的，每项奖补60万元；2022年5月底前完成的，每项奖补40万元；5月底后完成的不予奖补。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地震安全性评价：2022年3月底前完成的，每项奖补40万元；2022年4月底前完成的，每项奖补30万元；2022年5月底前完成的，每项奖补20万元；5月底后完成的不予奖补。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水资源论证：2022年3月底前完成的，每项奖补29万元；2022年4月底前完成的，每项奖补20万元；4月底后完成的不予奖补。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激励性补贴资金共计708万元，按照完成先后顺序予以奖励，用完为止。</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三、资金管理和使用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奖补资金实行专款专用、专账核算，专项用于区域评估工作，不得挪作他用，重点用于已纳入自治区台账目前未完成的区域评估事项。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根据财政部门专项资金使用管理要求，结合各旗县区域评估工作的进展情况，市自然资源局对奖补资金分配进行了初步概算，具体详见附表。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五月底，市自然资源局会同各评估事项市级业务主管部门对各旗县区域评估工作完成情况进行核查，核查情况上报市财政局，由市财政局根据最终的完成情况对奖补资金进行调整拨付。</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附表:区域评估工作奖补资金分配计划表</w:t>
      </w:r>
    </w:p>
    <w:p>
      <w:pPr>
        <w:pStyle w:val="2"/>
        <w:rPr>
          <w:rFonts w:hint="default" w:ascii="Times New Roman" w:hAnsi="Times New Roman" w:eastAsia="仿宋_GB2312" w:cs="Times New Roman"/>
          <w:sz w:val="24"/>
          <w:szCs w:val="24"/>
          <w:lang w:val="en-US" w:eastAsia="zh-CN"/>
        </w:rPr>
      </w:pPr>
    </w:p>
    <w:p>
      <w:pPr>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sectPr>
          <w:footerReference r:id="rId3" w:type="default"/>
          <w:pgSz w:w="11906" w:h="16838"/>
          <w:pgMar w:top="2041" w:right="1531" w:bottom="2041" w:left="1531" w:header="851" w:footer="992" w:gutter="0"/>
          <w:pgNumType w:fmt="numberInDash"/>
          <w:cols w:space="720" w:num="1"/>
          <w:docGrid w:type="lines" w:linePitch="312" w:charSpace="0"/>
        </w:sectPr>
      </w:pPr>
    </w:p>
    <w:tbl>
      <w:tblPr>
        <w:tblStyle w:val="15"/>
        <w:tblpPr w:leftFromText="181" w:rightFromText="181" w:tblpXSpec="center" w:tblpY="124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3"/>
        <w:gridCol w:w="1622"/>
        <w:gridCol w:w="1515"/>
        <w:gridCol w:w="1490"/>
        <w:gridCol w:w="1448"/>
        <w:gridCol w:w="1666"/>
        <w:gridCol w:w="1364"/>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2450" w:type="dxa"/>
            <w:vMerge w:val="restart"/>
            <w:noWrap w:val="0"/>
            <w:vAlign w:val="center"/>
            <mc:AlternateContent>
              <mc:Choice Requires="wpsCustomData">
                <wpsCustomData:diagonals>
                  <wpsCustomData:diagonal from="13700" to="30000">
                    <wpsCustomData:border w:val="single" w:color="auto" w:sz="4" w:space="0"/>
                  </wpsCustomData:diagonal>
                  <wpsCustomData:diagonal from="30000" to="5800">
                    <wpsCustomData:border w:val="single" w:color="auto" w:sz="4" w:space="0"/>
                  </wpsCustomData:diagonal>
                </wpsCustomData:diagonals>
              </mc:Choice>
            </mc:AlternateContent>
          </w:tcPr>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旗</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mc:AlternateContent>
                <mc:Choice Requires="wpsCustomData">
                  <wpsCustomData:diagonalParaType/>
                </mc:Choice>
              </mc:AlternateConten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县区</w:t>
            </w:r>
          </w:p>
          <w:p>
            <w:pPr>
              <w:keepNext w:val="0"/>
              <w:keepLines w:val="0"/>
              <w:pageBreakBefore w:val="0"/>
              <w:widowControl w:val="0"/>
              <w:numPr>
                <w:ilvl w:val="0"/>
                <w:numId w:val="0"/>
              </w:numPr>
              <w:kinsoku/>
              <w:wordWrap/>
              <w:overflowPunct/>
              <w:topLinePunct w:val="0"/>
              <w:autoSpaceDE/>
              <w:autoSpaceDN/>
              <w:bidi w:val="0"/>
              <w:adjustRightInd/>
              <w:snapToGrid w:val="0"/>
              <w:spacing w:line="380" w:lineRule="exact"/>
              <w:jc w:val="center"/>
              <w:textAlignment w:val="auto"/>
              <mc:AlternateContent>
                <mc:Choice Requires="wpsCustomData">
                  <wpsCustomData:diagonalParaType/>
                </mc:Choice>
              </mc:AlternateContent>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奖补内容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both"/>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奖补资金</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金</w:t>
            </w:r>
          </w:p>
        </w:tc>
        <w:tc>
          <w:tcPr>
            <w:tcW w:w="4878"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奖励资金（万元）</w:t>
            </w:r>
          </w:p>
        </w:tc>
        <w:tc>
          <w:tcPr>
            <w:tcW w:w="4739" w:type="dxa"/>
            <w:gridSpan w:val="3"/>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激励补贴资金（万元）</w:t>
            </w:r>
          </w:p>
        </w:tc>
        <w:tc>
          <w:tcPr>
            <w:tcW w:w="1714" w:type="dxa"/>
            <w:vMerge w:val="restart"/>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合计金额</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已完成评估事项数（个）</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单项奖励（万元）</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奖励金额（万元）</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气候可行性论证</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地震安全性评价</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水资源论证</w:t>
            </w:r>
          </w:p>
        </w:tc>
        <w:tc>
          <w:tcPr>
            <w:tcW w:w="1714" w:type="dxa"/>
            <w:vMerge w:val="continue"/>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临河区</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五原县</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sum(D4:G4)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145</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磴口县</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sum(D5:G5)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140</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杭锦后旗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60</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29</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sum(D6:G6)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169</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乌拉特前旗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24</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30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sum(D7:G7)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134</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乌拉特中旗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13</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156</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sum(D8:G8)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236</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乌拉特后旗</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6</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72</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100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sum(D9:G9)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212</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巴彦淖尔经济技术开发区</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w:t>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48</w:t>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sum(D10:G10)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128</w:t>
            </w:r>
            <w:r>
              <w:rPr>
                <w:rFonts w:hint="default" w:ascii="Times New Roman" w:hAnsi="Times New Roman" w:eastAsia="仿宋_GB2312" w:cs="Times New Roman"/>
                <w:sz w:val="24"/>
                <w:szCs w:val="24"/>
                <w:vertAlign w:val="baseli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合计</w:t>
            </w:r>
          </w:p>
        </w:tc>
        <w:tc>
          <w:tcPr>
            <w:tcW w:w="169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sum(B3:B10)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41</w:t>
            </w:r>
            <w:r>
              <w:rPr>
                <w:rFonts w:hint="default" w:ascii="Times New Roman" w:hAnsi="Times New Roman" w:eastAsia="仿宋_GB2312" w:cs="Times New Roman"/>
                <w:sz w:val="24"/>
                <w:szCs w:val="24"/>
                <w:vertAlign w:val="baseline"/>
                <w:lang w:val="en-US" w:eastAsia="zh-CN"/>
              </w:rPr>
              <w:fldChar w:fldCharType="end"/>
            </w:r>
          </w:p>
        </w:tc>
        <w:tc>
          <w:tcPr>
            <w:tcW w:w="160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0" w:firstLineChars="0"/>
              <w:jc w:val="center"/>
              <w:textAlignment w:val="auto"/>
              <w:rPr>
                <w:rFonts w:hint="default" w:ascii="Times New Roman" w:hAnsi="Times New Roman" w:eastAsia="仿宋_GB2312" w:cs="Times New Roman"/>
                <w:kern w:val="2"/>
                <w:sz w:val="24"/>
                <w:szCs w:val="24"/>
                <w:vertAlign w:val="baseline"/>
                <w:lang w:val="en-US" w:eastAsia="zh-CN" w:bidi="ar-SA"/>
              </w:rPr>
            </w:pPr>
            <w:r>
              <w:rPr>
                <w:rFonts w:hint="default" w:ascii="Times New Roman" w:hAnsi="Times New Roman" w:eastAsia="仿宋_GB2312" w:cs="Times New Roman"/>
                <w:sz w:val="24"/>
                <w:szCs w:val="24"/>
                <w:vertAlign w:val="baseline"/>
                <w:lang w:val="en-US" w:eastAsia="zh-CN"/>
              </w:rPr>
              <w:t>12</w:t>
            </w:r>
          </w:p>
        </w:tc>
        <w:tc>
          <w:tcPr>
            <w:tcW w:w="157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sum(D3:D10)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492</w:t>
            </w:r>
            <w:r>
              <w:rPr>
                <w:rFonts w:hint="default" w:ascii="Times New Roman" w:hAnsi="Times New Roman" w:eastAsia="仿宋_GB2312" w:cs="Times New Roman"/>
                <w:sz w:val="24"/>
                <w:szCs w:val="24"/>
                <w:vertAlign w:val="baseline"/>
                <w:lang w:val="en-US" w:eastAsia="zh-CN"/>
              </w:rPr>
              <w:fldChar w:fldCharType="end"/>
            </w:r>
          </w:p>
        </w:tc>
        <w:tc>
          <w:tcPr>
            <w:tcW w:w="153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580</w:t>
            </w:r>
          </w:p>
        </w:tc>
        <w:tc>
          <w:tcPr>
            <w:tcW w:w="177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70</w:t>
            </w:r>
          </w:p>
        </w:tc>
        <w:tc>
          <w:tcPr>
            <w:tcW w:w="143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t>58</w:t>
            </w:r>
          </w:p>
        </w:tc>
        <w:tc>
          <w:tcPr>
            <w:tcW w:w="1714"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80" w:lineRule="exact"/>
              <w:jc w:val="center"/>
              <w:textAlignment w:val="auto"/>
              <w:rPr>
                <w:rFonts w:hint="default" w:ascii="Times New Roman" w:hAnsi="Times New Roman" w:eastAsia="仿宋_GB2312" w:cs="Times New Roman"/>
                <w:sz w:val="24"/>
                <w:szCs w:val="24"/>
                <w:vertAlign w:val="baseline"/>
                <w:lang w:val="en-US" w:eastAsia="zh-CN"/>
              </w:rPr>
            </w:pPr>
            <w:r>
              <w:rPr>
                <w:rFonts w:hint="default" w:ascii="Times New Roman" w:hAnsi="Times New Roman" w:eastAsia="仿宋_GB2312" w:cs="Times New Roman"/>
                <w:sz w:val="24"/>
                <w:szCs w:val="24"/>
                <w:vertAlign w:val="baseline"/>
                <w:lang w:val="en-US" w:eastAsia="zh-CN"/>
              </w:rPr>
              <w:fldChar w:fldCharType="begin"/>
            </w:r>
            <w:r>
              <w:rPr>
                <w:rFonts w:hint="default" w:ascii="Times New Roman" w:hAnsi="Times New Roman" w:eastAsia="仿宋_GB2312" w:cs="Times New Roman"/>
                <w:sz w:val="24"/>
                <w:szCs w:val="24"/>
                <w:vertAlign w:val="baseline"/>
                <w:lang w:val="en-US" w:eastAsia="zh-CN"/>
              </w:rPr>
              <w:instrText xml:space="preserve"> = sum(H3:H10) \* MERGEFORMAT </w:instrText>
            </w:r>
            <w:r>
              <w:rPr>
                <w:rFonts w:hint="default" w:ascii="Times New Roman" w:hAnsi="Times New Roman" w:eastAsia="仿宋_GB2312" w:cs="Times New Roman"/>
                <w:sz w:val="24"/>
                <w:szCs w:val="24"/>
                <w:vertAlign w:val="baseline"/>
                <w:lang w:val="en-US" w:eastAsia="zh-CN"/>
              </w:rPr>
              <w:fldChar w:fldCharType="separate"/>
            </w:r>
            <w:r>
              <w:rPr>
                <w:rFonts w:hint="default" w:ascii="Times New Roman" w:hAnsi="Times New Roman" w:eastAsia="仿宋_GB2312" w:cs="Times New Roman"/>
                <w:sz w:val="24"/>
                <w:szCs w:val="24"/>
                <w:vertAlign w:val="baseline"/>
                <w:lang w:val="en-US" w:eastAsia="zh-CN"/>
              </w:rPr>
              <w:t>1200</w:t>
            </w:r>
            <w:r>
              <w:rPr>
                <w:rFonts w:hint="default" w:ascii="Times New Roman" w:hAnsi="Times New Roman" w:eastAsia="仿宋_GB2312" w:cs="Times New Roman"/>
                <w:sz w:val="24"/>
                <w:szCs w:val="24"/>
                <w:vertAlign w:val="baseline"/>
                <w:lang w:val="en-US" w:eastAsia="zh-CN"/>
              </w:rPr>
              <w:fldChar w:fldCharType="end"/>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44"/>
          <w:szCs w:val="44"/>
          <w:lang w:val="en-US" w:eastAsia="zh-CN"/>
        </w:rPr>
      </w:pPr>
      <w:r>
        <w:rPr>
          <w:rFonts w:hint="default" w:ascii="Times New Roman" w:hAnsi="Times New Roman" w:eastAsia="黑体" w:cs="Times New Roman"/>
          <w:sz w:val="32"/>
          <w:szCs w:val="32"/>
          <w:lang w:val="en-US" w:eastAsia="zh-CN"/>
        </w:rPr>
        <w:t>附表</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44"/>
          <w:szCs w:val="4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区域评估工作奖补资金分配计划表</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720" w:firstLineChars="30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说明：1.奖励资金按照已完成评估事项的数量计算，每项奖励12万元，共计492万元。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1440" w:leftChars="450" w:firstLine="0" w:firstLineChars="0"/>
        <w:jc w:val="left"/>
        <w:textAlignment w:val="auto"/>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激励补贴资金：（1）气候可行性论证:乌拉特后旗按照2月底前完成，激励补贴100万；其余旗县按照3月底前完成，每项激励补贴80万元。（2）地震安全性评价：乌拉特后旗已完成招投标，按照3月底完成，激励补贴40万元；乌拉特前旗未招标，按照4月底完成，激励补贴30万元。（3）水资源论证按照3月底完成，每项激励补贴29万元。激励补贴资金共计708万元。</w:t>
      </w:r>
    </w:p>
    <w:p>
      <w:pPr>
        <w:keepNext w:val="0"/>
        <w:keepLines w:val="0"/>
        <w:pageBreakBefore w:val="0"/>
        <w:widowControl w:val="0"/>
        <w:kinsoku/>
        <w:wordWrap/>
        <w:overflowPunct/>
        <w:topLinePunct w:val="0"/>
        <w:autoSpaceDE/>
        <w:autoSpaceDN/>
        <w:bidi w:val="0"/>
        <w:adjustRightInd/>
        <w:snapToGrid/>
        <w:spacing w:line="520" w:lineRule="exact"/>
        <w:ind w:left="960" w:leftChars="300" w:firstLine="480" w:firstLineChars="200"/>
        <w:textAlignment w:val="auto"/>
        <w:rPr>
          <w:rFonts w:hint="default" w:ascii="Times New Roman" w:hAnsi="Times New Roman" w:cs="Times New Roman"/>
        </w:rPr>
      </w:pPr>
      <w:r>
        <w:rPr>
          <w:rFonts w:hint="default" w:ascii="Times New Roman" w:hAnsi="Times New Roman" w:eastAsia="仿宋_GB2312" w:cs="Times New Roman"/>
          <w:sz w:val="24"/>
          <w:szCs w:val="24"/>
          <w:lang w:val="en-US" w:eastAsia="zh-CN"/>
        </w:rPr>
        <w:t>3.最终的奖补资金拨付额根据5月底各旗县评估事项完成情况调整。</w: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2" o:spid="_x0000_s1026" o:spt="20" style="position:absolute;left:0pt;margin-left:0pt;margin-top:593.45pt;height:0pt;width:441pt;z-index:251660288;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nIMLW+QEAAPI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JU0CZw4sXfjN119/&#10;vny//f2N1pufP9gsi9QHrCj2yq3jcYdhHTPjfRNt/hMXth+EPZyEVfvEBB3OL8ryZUmaiztf8S8x&#10;RExvlbcsGzU32mXOUMHuHSYqRqF3IfnYONbX/PV8Nic4oAFs6OLJtIFIoGuHXPRGy2ttTM7A2G6u&#10;TGQ7yEMwfJkS4f4XlousALsxbnCN49EpkG+cZOkQSB5Hr4LnFqySnBlFjyhbBAhVAm3OiaTSxuUE&#10;NYzokWfWeFQ1WxsvD3Q12xB125Eu06Hn7KFRGLo/jm2etft7su8/1e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RqcLgtQAAAAKAQAADwAAAAAAAAABACAAAAAiAAAAZHJzL2Rvd25yZXYueG1sUEsB&#10;AhQAFAAAAAgAh07iQCcgwtb5AQAA8gMAAA4AAAAAAAAAAQAgAAAAIwEAAGRycy9lMm9Eb2MueG1s&#10;UEsFBgAAAAAGAAYAWQEAAI4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59264;mso-width-relative:page;mso-height-relative:page;" filled="f" stroked="t" coordsize="21600,21600" o:gfxdata="UEsDBAoAAAAAAIdO4kAAAAAAAAAAAAAAAAAEAAAAZHJzL1BLAwQUAAAACACHTuJARqcLgtQAAAAK&#10;AQAADwAAAGRycy9kb3ducmV2LnhtbE2PvU7EMBCEeyTewVokmhNnJ0inEOJcAaSj4QDR7sVLEhGv&#10;c7HvB56epUBQ7jej2ZlqffKjOtAch8AWsqUBRdwGN3Bn4eW5uSpAxYTscAxMFj4pwro+P6uwdOHI&#10;T3TYpE5JCMcSLfQpTaXWse3JY1yGiVi09zB7THLOnXYzHiXcjzo3ZqU9Diwfepzorqf2Y7P3FmLz&#10;Srvma9EuzNt1Fyjf3T8+oLWXF5m5BZXolP7M8FNfqkMtnbZhzy6q0YIMSUKzYnUDSvSiyAVtf5Gu&#10;K/1/Qv0NUEsDBBQAAAAIAIdO4kAAAWDG+gEAAPIDAAAOAAAAZHJzL2Uyb0RvYy54bWytU82O0zAQ&#10;viPxDpbvNGmlLhA13cOW5YKgEvAAU9tJLPlPHrdpX4IXQOIGJ47ceRt2H4Nx0i3L7qWHzcEZe2a+&#10;me/zeHG5t4btVETtXc2nk5Iz5YSX2rU1//zp+sUrzjCBk2C8UzU/KOSXy+fPFn2o1Mx33kgVGYE4&#10;rPpQ8y6lUBUFik5ZwIkPypGz8dFCom1sCxmhJ3RrillZXhS9jzJELxQina5GJz8ixnMAfdNooVZe&#10;bK1yaUSNykAiStjpgHw5dNs0SqQPTYMqMVNzYpqGlYqQvclrsVxA1UYInRbHFuCcFh5wsqAdFT1B&#10;rSAB20b9CMpqET36Jk2Et8VIZFCEWEzLB9p87CCogQtJjeEkOj4drHi/W0emZc1nnDmwdOE3X3/9&#10;+fL99vc3Wm9+/mCzLFIfsKLYK7eOxx2GdcyM9020+U9c2H4Q9nASVu0TE3Q4vyjLlyVpLu58xb/E&#10;EDG9Vd6ybNTcaJc5QwW7d5ioGIXeheRj41hf89fz2ZzggAawoYsn0wYiga4dctEbLa+1MTkDY7u5&#10;MpHtIA/B8GVKhPtfWC6yAuzGuME1jkenQL5xkqVDIHkcvQqeW7BKcmYUPaJsESBUCbQ5J5JKG5cT&#10;1DCiR55Z41HVbG28PNDVbEPUbUe6TIees4dGYej+OLZ51u7vyb7/VJ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anC4LUAAAACgEAAA8AAAAAAAAAAQAgAAAAIgAAAGRycy9kb3ducmV2LnhtbFBL&#10;AQIUABQAAAAIAIdO4kAAAWDG+gEAAPIDAAAOAAAAAAAAAAEAIAAAACMBAABkcnMvZTJvRG9jLnht&#10;bFBLBQYAAAAABgAGAFkBAACPBQAAAAA=&#10;">
                <v:fill on="f" focussize="0,0"/>
                <v:stroke color="#000000" joinstyle="round"/>
                <v:imagedata o:title=""/>
                <o:lock v:ext="edit" aspectratio="f"/>
              </v:line>
            </w:pict>
          </mc:Fallback>
        </mc:AlternateContent>
      </w:r>
      <mc:AlternateContent>
        <mc:Choice Requires="wpsCustomData">
          <wpsCustomData:docfieldEnd id="0"/>
        </mc:Choice>
      </mc:AlternateContent>
    </w:p>
    <w:sectPr>
      <w:headerReference r:id="rId4" w:type="default"/>
      <w:footerReference r:id="rId5" w:type="default"/>
      <w:pgSz w:w="16838" w:h="11906" w:orient="landscape"/>
      <w:pgMar w:top="1020" w:right="2041" w:bottom="1134" w:left="2041" w:header="851" w:footer="992" w:gutter="0"/>
      <w:pgNumType w:fmt="numberInDash"/>
      <w:cols w:space="72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PN6+ckBAACaAwAADgAAAGRycy9lMm9Eb2MueG1srVPNjtMwEL4j8Q6W&#10;79RpB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TEcYsDv3z/dvnx6/LzK1m+&#10;yv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83r5yQEAAJoDAAAOAAAAAAAAAAEAIAAAAB4BAABkcnMvZTJvRG9j&#10;LnhtbFBLBQYAAAAABgAGAFkBAABZBQAAAAA=&#10;">
              <v:fill on="f" focussize="0,0"/>
              <v:stroke on="f"/>
              <v:imagedata o:title=""/>
              <o:lock v:ext="edit" aspectratio="f"/>
              <v:textbox inset="0mm,0mm,0mm,0mm" style="mso-fit-shape-to-text:t;">
                <w:txbxContent>
                  <w:p>
                    <w:pPr>
                      <w:pStyle w:val="9"/>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-333375</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top:-26.25pt;height:144pt;width:144pt;mso-position-horizontal:outside;mso-position-horizontal-relative:margin;mso-wrap-style:none;z-index:251659264;mso-width-relative:page;mso-height-relative:page;" filled="f" stroked="f" coordsize="21600,21600" o:gfxdata="UEsDBAoAAAAAAIdO4kAAAAAAAAAAAAAAAAAEAAAAZHJzL1BLAwQUAAAACACHTuJAFZVxmNYAAAAI&#10;AQAADwAAAGRycy9kb3ducmV2LnhtbE2PQU/DMAyF70j8h8hI3LZ0HUVVaTqJiXJEYuXAMWu8tqNx&#10;qiTryr/HnOBm+z09f6/cLXYUM/owOFKwWScgkFpnBuoUfDT1KgcRoiajR0eo4BsD7Krbm1IXxl3p&#10;HedD7ASHUCi0gj7GqZAytD1aHdZuQmLt5LzVkVffSeP1lcPtKNMkeZRWD8Qfej3hvsf263CxCvZ1&#10;0/gZgx8/8bXent+eH/BlUer+bpM8gYi4xD8z/OIzOlTMdHQXMkGMCrhIVLDK0gwEy2me8+XIwzbL&#10;QFal/F+g+gFQSwMEFAAAAAgAh07iQAAaxfIyAgAAYwQAAA4AAABkcnMvZTJvRG9jLnhtbK1UzY7T&#10;MBC+I/EOlu80bVesqqrpqmxVhFSxKy2Is+s4TST/yXablAeAN+DEhTvP1efYz07SRQuHPXBJx57x&#10;N/N9M9PFTaskOQrna6NzOhmNKRGam6LW+5x+/rR5M6PEB6YLJo0WOT0JT2+Wr18tGjsXU1MZWQhH&#10;AKL9vLE5rUKw8yzzvBKK+ZGxQsNZGqdYwNHts8KxBuhKZtPx+DprjCusM1x4j9t156Q9onsJoCnL&#10;mou14QcldOhQnZAsgJKvauvpMlVbloKHu7L0IhCZUzAN6YsksHfxmy0XbL53zFY170tgLynhGSfF&#10;ao2kF6g1C4wcXP0XlKq5M96UYcSNyjoiSRGwmIyfafNQMSsSF0jt7UV0//9g+cfjvSN1kdMrSjRT&#10;aPj5x/fzz9/nX9/INMrTWD9H1INFXGjfmRZDM9x7XEbWbelU/AUfAj/EPV3EFW0gPD6aTWezMVwc&#10;vuEA/OzpuXU+vBdGkWjk1KF7SVR23PrQhQ4hMZs2m1rK1EGpSZPT66u34/Tg4gG41DFWpFnoYSKl&#10;rvRohXbX9jx3pjiBpjPdnHjLNzVK2TIf7pnDYKB8rE64w6eUBilNb1FSGff1X/cxHv2Cl5IGg5ZT&#10;jb2iRH7Q6CMAw2C4wdgNhj6oW4PJnWAlLU8mHrggB7N0Rn3BPq1iDriY5siU0zCYt6EbduwjF6tV&#10;CsLkWRa2+sHyCB3l8XZ1CJAzqRxF6ZRAd+IBs5f61O9JHO4/zynq6b9h+Qh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lXGY1gAAAAgBAAAPAAAAAAAAAAEAIAAAACIAAABkcnMvZG93bnJldi54bWxQ&#10;SwECFAAUAAAACACHTuJAABrF8jICAABjBAAADgAAAAAAAAABACAAAAAlAQAAZHJzL2Uyb0RvYy54&#10;bWxQSwUGAAAAAAYABgBZAQAAyQUAAAAA&#10;">
              <v:fill on="f" focussize="0,0"/>
              <v:stroke on="f" weight="0.5pt"/>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16F6B"/>
    <w:multiLevelType w:val="singleLevel"/>
    <w:tmpl w:val="FC416F6B"/>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hyphenationZone w:val="360"/>
  <w:drawingGridHorizontalSpacing w:val="105"/>
  <w:drawingGridVerticalSpacing w:val="221"/>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2CA"/>
    <w:rsid w:val="00022811"/>
    <w:rsid w:val="0003377F"/>
    <w:rsid w:val="00090E39"/>
    <w:rsid w:val="000F2B7D"/>
    <w:rsid w:val="001C6A49"/>
    <w:rsid w:val="001C7E28"/>
    <w:rsid w:val="00225F34"/>
    <w:rsid w:val="00231B16"/>
    <w:rsid w:val="002406B0"/>
    <w:rsid w:val="00243640"/>
    <w:rsid w:val="0027665A"/>
    <w:rsid w:val="002C00F4"/>
    <w:rsid w:val="003011BB"/>
    <w:rsid w:val="003542F9"/>
    <w:rsid w:val="00362369"/>
    <w:rsid w:val="0036631F"/>
    <w:rsid w:val="00367C7A"/>
    <w:rsid w:val="003D09C1"/>
    <w:rsid w:val="00450579"/>
    <w:rsid w:val="00500442"/>
    <w:rsid w:val="0051341C"/>
    <w:rsid w:val="00526086"/>
    <w:rsid w:val="00546378"/>
    <w:rsid w:val="0056281F"/>
    <w:rsid w:val="005657C7"/>
    <w:rsid w:val="00581A75"/>
    <w:rsid w:val="006224FA"/>
    <w:rsid w:val="00726063"/>
    <w:rsid w:val="007B167E"/>
    <w:rsid w:val="008D2AC2"/>
    <w:rsid w:val="009731F8"/>
    <w:rsid w:val="0099259E"/>
    <w:rsid w:val="009D5AC7"/>
    <w:rsid w:val="00A568FF"/>
    <w:rsid w:val="00A8626E"/>
    <w:rsid w:val="00AB2460"/>
    <w:rsid w:val="00B37D74"/>
    <w:rsid w:val="00B40311"/>
    <w:rsid w:val="00BA11CD"/>
    <w:rsid w:val="00BA1BA7"/>
    <w:rsid w:val="00BB6B8D"/>
    <w:rsid w:val="00BC3A80"/>
    <w:rsid w:val="00BC4E00"/>
    <w:rsid w:val="00C77F23"/>
    <w:rsid w:val="00D208F1"/>
    <w:rsid w:val="00D4468C"/>
    <w:rsid w:val="00D54E27"/>
    <w:rsid w:val="00DD2605"/>
    <w:rsid w:val="00E12A76"/>
    <w:rsid w:val="00E243FE"/>
    <w:rsid w:val="00E6673C"/>
    <w:rsid w:val="00E75745"/>
    <w:rsid w:val="00ED3FA4"/>
    <w:rsid w:val="00F952CA"/>
    <w:rsid w:val="00FD554D"/>
    <w:rsid w:val="012B7ACA"/>
    <w:rsid w:val="0193342F"/>
    <w:rsid w:val="01F31943"/>
    <w:rsid w:val="03506C2C"/>
    <w:rsid w:val="0402165A"/>
    <w:rsid w:val="04105654"/>
    <w:rsid w:val="065E4075"/>
    <w:rsid w:val="06BB2907"/>
    <w:rsid w:val="06C55582"/>
    <w:rsid w:val="0CFCA657"/>
    <w:rsid w:val="0F0A46D5"/>
    <w:rsid w:val="1478084F"/>
    <w:rsid w:val="1677A179"/>
    <w:rsid w:val="18AC64CE"/>
    <w:rsid w:val="198025B0"/>
    <w:rsid w:val="1B0945C2"/>
    <w:rsid w:val="1BE35857"/>
    <w:rsid w:val="1C972556"/>
    <w:rsid w:val="1EFE8008"/>
    <w:rsid w:val="20351E0B"/>
    <w:rsid w:val="22511966"/>
    <w:rsid w:val="22667143"/>
    <w:rsid w:val="27222BC0"/>
    <w:rsid w:val="2F6FF2DA"/>
    <w:rsid w:val="36CA5F5C"/>
    <w:rsid w:val="375B31A4"/>
    <w:rsid w:val="3B3201F3"/>
    <w:rsid w:val="3B5EE0CC"/>
    <w:rsid w:val="3BEE97F9"/>
    <w:rsid w:val="3C53117C"/>
    <w:rsid w:val="3CA7DB10"/>
    <w:rsid w:val="3D345AD0"/>
    <w:rsid w:val="3DDF174A"/>
    <w:rsid w:val="3E7056D6"/>
    <w:rsid w:val="3FE73715"/>
    <w:rsid w:val="403D2203"/>
    <w:rsid w:val="4670176B"/>
    <w:rsid w:val="47441A67"/>
    <w:rsid w:val="47B508C4"/>
    <w:rsid w:val="4DE872DA"/>
    <w:rsid w:val="4DF5BC8F"/>
    <w:rsid w:val="55366641"/>
    <w:rsid w:val="55936568"/>
    <w:rsid w:val="568F025F"/>
    <w:rsid w:val="575B1282"/>
    <w:rsid w:val="57BD7033"/>
    <w:rsid w:val="57CF0303"/>
    <w:rsid w:val="57D71B19"/>
    <w:rsid w:val="57FFC42A"/>
    <w:rsid w:val="591DCFD2"/>
    <w:rsid w:val="59E553B0"/>
    <w:rsid w:val="5BBF70ED"/>
    <w:rsid w:val="5BCEC93A"/>
    <w:rsid w:val="5CEFAF24"/>
    <w:rsid w:val="5EEBB92C"/>
    <w:rsid w:val="5FDFF1A6"/>
    <w:rsid w:val="68910A24"/>
    <w:rsid w:val="699E12DA"/>
    <w:rsid w:val="6BBC32A1"/>
    <w:rsid w:val="6C5D34AB"/>
    <w:rsid w:val="6D827A95"/>
    <w:rsid w:val="6DFEA764"/>
    <w:rsid w:val="6EEFE9AA"/>
    <w:rsid w:val="6F8311BF"/>
    <w:rsid w:val="6FFB54E7"/>
    <w:rsid w:val="708A037F"/>
    <w:rsid w:val="71AA14ED"/>
    <w:rsid w:val="746CC54B"/>
    <w:rsid w:val="74F62DFA"/>
    <w:rsid w:val="75F7732B"/>
    <w:rsid w:val="75FB485C"/>
    <w:rsid w:val="763FD2CB"/>
    <w:rsid w:val="77D67E71"/>
    <w:rsid w:val="77E67BB2"/>
    <w:rsid w:val="797904F0"/>
    <w:rsid w:val="797FC2CB"/>
    <w:rsid w:val="7A3FC857"/>
    <w:rsid w:val="7BBFEB30"/>
    <w:rsid w:val="7BCC5814"/>
    <w:rsid w:val="7BFF8302"/>
    <w:rsid w:val="7CAB5A16"/>
    <w:rsid w:val="7CDDF460"/>
    <w:rsid w:val="7CFF14B2"/>
    <w:rsid w:val="7DB28463"/>
    <w:rsid w:val="7DBDD6DA"/>
    <w:rsid w:val="7DF649D3"/>
    <w:rsid w:val="7DFEA8D5"/>
    <w:rsid w:val="7ED2E00F"/>
    <w:rsid w:val="7EDD711E"/>
    <w:rsid w:val="7EFF71BB"/>
    <w:rsid w:val="7F7AB7E8"/>
    <w:rsid w:val="7F7F9233"/>
    <w:rsid w:val="7F9E3FDF"/>
    <w:rsid w:val="7FFD9445"/>
    <w:rsid w:val="7FFF3B6C"/>
    <w:rsid w:val="7FFF5CA9"/>
    <w:rsid w:val="9EFFF8D7"/>
    <w:rsid w:val="9FE5516F"/>
    <w:rsid w:val="AEFD723F"/>
    <w:rsid w:val="B22ADA8C"/>
    <w:rsid w:val="B3F5F1BB"/>
    <w:rsid w:val="B6A7F4CB"/>
    <w:rsid w:val="B6B7BACC"/>
    <w:rsid w:val="BB6DC4A2"/>
    <w:rsid w:val="BD9A1A54"/>
    <w:rsid w:val="BE520389"/>
    <w:rsid w:val="BEDE5564"/>
    <w:rsid w:val="BEEEEF8A"/>
    <w:rsid w:val="BEF3362E"/>
    <w:rsid w:val="BFF78FD5"/>
    <w:rsid w:val="BFFE3358"/>
    <w:rsid w:val="BFFF5237"/>
    <w:rsid w:val="CADEA72A"/>
    <w:rsid w:val="CCE52F03"/>
    <w:rsid w:val="DADF323E"/>
    <w:rsid w:val="DB8FBB1B"/>
    <w:rsid w:val="DBB7E549"/>
    <w:rsid w:val="DDA9A1B1"/>
    <w:rsid w:val="DFBF9545"/>
    <w:rsid w:val="E5F69A65"/>
    <w:rsid w:val="E6A722E7"/>
    <w:rsid w:val="EBF83C4F"/>
    <w:rsid w:val="EBFE3767"/>
    <w:rsid w:val="EC8E1401"/>
    <w:rsid w:val="ED9751F5"/>
    <w:rsid w:val="EEDC89C4"/>
    <w:rsid w:val="F5F74699"/>
    <w:rsid w:val="F5FBEC34"/>
    <w:rsid w:val="F8DF0FD2"/>
    <w:rsid w:val="F9582176"/>
    <w:rsid w:val="F9DCF8A1"/>
    <w:rsid w:val="FBFA459E"/>
    <w:rsid w:val="FBFF38E2"/>
    <w:rsid w:val="FBFF4FE7"/>
    <w:rsid w:val="FCBA9AE8"/>
    <w:rsid w:val="FD3EB2AB"/>
    <w:rsid w:val="FD7F43DC"/>
    <w:rsid w:val="FDFF1082"/>
    <w:rsid w:val="FF7CBE64"/>
    <w:rsid w:val="FFBD28C0"/>
    <w:rsid w:val="FFBF63A5"/>
    <w:rsid w:val="FFEBDC41"/>
    <w:rsid w:val="FFFBE9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b/>
      <w:bCs/>
      <w:kern w:val="44"/>
      <w:sz w:val="44"/>
      <w:szCs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UserStyle_0"/>
    <w:basedOn w:val="1"/>
    <w:next w:val="1"/>
    <w:qFormat/>
    <w:uiPriority w:val="0"/>
    <w:pPr>
      <w:ind w:left="131"/>
      <w:textAlignment w:val="baseline"/>
    </w:pPr>
    <w:rPr>
      <w:rFonts w:ascii="Times New Roman" w:hAnsi="Times New Roman" w:eastAsia="宋体" w:cs="Times New Roman"/>
      <w:sz w:val="34"/>
      <w:szCs w:val="34"/>
      <w:lang w:val="zh-CN" w:eastAsia="zh-CN" w:bidi="zh-CN"/>
    </w:rPr>
  </w:style>
  <w:style w:type="paragraph" w:styleId="4">
    <w:name w:val="Normal Indent"/>
    <w:basedOn w:val="1"/>
    <w:qFormat/>
    <w:uiPriority w:val="0"/>
    <w:pPr>
      <w:ind w:firstLine="420"/>
    </w:pPr>
    <w:rPr>
      <w:rFonts w:ascii="宋体" w:hAnsi="宋体" w:eastAsia="宋体" w:cs="Times New Roman"/>
      <w:sz w:val="21"/>
      <w:szCs w:val="20"/>
    </w:rPr>
  </w:style>
  <w:style w:type="paragraph" w:styleId="5">
    <w:name w:val="Body Text"/>
    <w:basedOn w:val="1"/>
    <w:next w:val="6"/>
    <w:qFormat/>
    <w:uiPriority w:val="0"/>
    <w:rPr>
      <w:rFonts w:ascii="宋体" w:hAnsi="宋体" w:eastAsia="宋体"/>
      <w:sz w:val="44"/>
      <w:szCs w:val="24"/>
    </w:rPr>
  </w:style>
  <w:style w:type="paragraph" w:styleId="6">
    <w:name w:val="Normal (Web)"/>
    <w:basedOn w:val="1"/>
    <w:next w:val="7"/>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7">
    <w:name w:val="Body Text First Indent"/>
    <w:basedOn w:val="5"/>
    <w:next w:val="1"/>
    <w:unhideWhenUsed/>
    <w:qFormat/>
    <w:uiPriority w:val="99"/>
    <w:pPr>
      <w:ind w:firstLine="420" w:firstLineChars="100"/>
    </w:pPr>
  </w:style>
  <w:style w:type="paragraph" w:styleId="8">
    <w:name w:val="Balloon Text"/>
    <w:basedOn w:val="1"/>
    <w:link w:val="18"/>
    <w:qFormat/>
    <w:uiPriority w:val="0"/>
    <w:rPr>
      <w:sz w:val="18"/>
      <w:szCs w:val="18"/>
    </w:rPr>
  </w:style>
  <w:style w:type="paragraph" w:styleId="9">
    <w:name w:val="footer"/>
    <w:basedOn w:val="1"/>
    <w:link w:val="19"/>
    <w:qFormat/>
    <w:uiPriority w:val="0"/>
    <w:pPr>
      <w:tabs>
        <w:tab w:val="center" w:pos="4153"/>
        <w:tab w:val="right" w:pos="8306"/>
      </w:tabs>
      <w:snapToGrid w:val="0"/>
      <w:jc w:val="left"/>
    </w:pPr>
    <w:rPr>
      <w:sz w:val="18"/>
      <w:szCs w:val="18"/>
    </w:rPr>
  </w:style>
  <w:style w:type="paragraph" w:styleId="10">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2"/>
    <w:next w:val="1"/>
    <w:qFormat/>
    <w:uiPriority w:val="0"/>
    <w:pPr>
      <w:tabs>
        <w:tab w:val="right" w:leader="dot" w:pos="8239"/>
      </w:tabs>
    </w:pPr>
    <w:rPr>
      <w:rFonts w:ascii="宋体" w:hAnsi="宋体"/>
    </w:rPr>
  </w:style>
  <w:style w:type="paragraph" w:styleId="12">
    <w:name w:val="index 1"/>
    <w:basedOn w:val="1"/>
    <w:next w:val="1"/>
    <w:qFormat/>
    <w:uiPriority w:val="0"/>
    <w:rPr>
      <w:rFonts w:ascii="宋体" w:hAnsi="宋体" w:eastAsia="宋体"/>
      <w:szCs w:val="24"/>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4"/>
      <w:lang w:val="en-US" w:eastAsia="zh-CN" w:bidi="ar-SA"/>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page number"/>
    <w:basedOn w:val="16"/>
    <w:qFormat/>
    <w:uiPriority w:val="0"/>
    <w:rPr>
      <w:rFonts w:ascii="Arial" w:hAnsi="Arial" w:eastAsia="宋体" w:cs="Arial"/>
      <w:sz w:val="20"/>
      <w:szCs w:val="20"/>
    </w:rPr>
  </w:style>
  <w:style w:type="character" w:customStyle="1" w:styleId="18">
    <w:name w:val="批注框文本 Char"/>
    <w:basedOn w:val="16"/>
    <w:link w:val="8"/>
    <w:semiHidden/>
    <w:qFormat/>
    <w:uiPriority w:val="99"/>
    <w:rPr>
      <w:sz w:val="18"/>
      <w:szCs w:val="18"/>
    </w:rPr>
  </w:style>
  <w:style w:type="character" w:customStyle="1" w:styleId="19">
    <w:name w:val="页脚 Char"/>
    <w:basedOn w:val="16"/>
    <w:link w:val="9"/>
    <w:qFormat/>
    <w:uiPriority w:val="99"/>
    <w:rPr>
      <w:sz w:val="18"/>
      <w:szCs w:val="18"/>
    </w:rPr>
  </w:style>
  <w:style w:type="character" w:customStyle="1" w:styleId="20">
    <w:name w:val="页眉 Char"/>
    <w:basedOn w:val="16"/>
    <w:link w:val="10"/>
    <w:qFormat/>
    <w:uiPriority w:val="99"/>
    <w:rPr>
      <w:sz w:val="18"/>
      <w:szCs w:val="18"/>
    </w:rPr>
  </w:style>
  <w:style w:type="paragraph" w:customStyle="1" w:styleId="21">
    <w:name w:val="默认段落字体 Para Char Char Char Char Char Char Char"/>
    <w:basedOn w:val="1"/>
    <w:qFormat/>
    <w:uiPriority w:val="0"/>
    <w:rPr>
      <w:rFonts w:ascii="Arial" w:hAnsi="Arial" w:eastAsia="宋体" w:cs="Arial"/>
      <w:sz w:val="20"/>
      <w:szCs w:val="20"/>
    </w:rPr>
  </w:style>
  <w:style w:type="paragraph" w:customStyle="1" w:styleId="22">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 w:type="paragraph" w:customStyle="1" w:styleId="23">
    <w:name w:val="p0"/>
    <w:basedOn w:val="1"/>
    <w:qFormat/>
    <w:uiPriority w:val="0"/>
    <w:pPr>
      <w:widowControl/>
    </w:pPr>
    <w:rPr>
      <w:rFonts w:ascii="宋体" w:hAnsi="宋体" w:eastAsia="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Home</Company>
  <Pages>5</Pages>
  <Words>1875</Words>
  <Characters>2035</Characters>
  <Lines>0</Lines>
  <Paragraphs>0</Paragraphs>
  <TotalTime>1</TotalTime>
  <ScaleCrop>false</ScaleCrop>
  <LinksUpToDate>false</LinksUpToDate>
  <CharactersWithSpaces>2070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2019-01-28T17:20:00Z</dcterms:created>
  <dc:creator>Administrator</dc:creator>
  <cp:lastModifiedBy>风平浪静</cp:lastModifiedBy>
  <cp:lastPrinted>2022-03-27T01:33:00Z</cp:lastPrinted>
  <dcterms:modified xsi:type="dcterms:W3CDTF">2023-11-07T08:04:22Z</dcterms:modified>
  <dc:title>巴政发〔2022〕13号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文种">
    <vt:lpwstr>通知</vt:lpwstr>
  </property>
</Properties>
</file>