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b/>
          <w:bCs/>
          <w:sz w:val="84"/>
          <w:szCs w:val="84"/>
          <w:lang w:val="en-US" w:eastAsia="zh-CN"/>
        </w:rPr>
      </w:pPr>
    </w:p>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_GBK" w:hAnsi="方正小标宋_GBK" w:eastAsia="方正小标宋_GBK" w:cs="方正小标宋_GBK"/>
          <w:b w:val="0"/>
          <w:bCs w:val="0"/>
          <w:sz w:val="52"/>
          <w:szCs w:val="52"/>
          <w:lang w:val="en-US" w:eastAsia="zh-CN"/>
        </w:rPr>
      </w:pPr>
    </w:p>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_GBK" w:hAnsi="方正小标宋_GBK" w:eastAsia="方正小标宋_GBK" w:cs="方正小标宋_GBK"/>
          <w:b w:val="0"/>
          <w:bCs w:val="0"/>
          <w:sz w:val="52"/>
          <w:szCs w:val="52"/>
          <w:lang w:val="en-US" w:eastAsia="zh-CN"/>
        </w:rPr>
      </w:pPr>
    </w:p>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_GBK" w:hAnsi="方正小标宋_GBK" w:eastAsia="方正小标宋_GBK" w:cs="方正小标宋_GBK"/>
          <w:b w:val="0"/>
          <w:bCs w:val="0"/>
          <w:sz w:val="52"/>
          <w:szCs w:val="52"/>
          <w:lang w:val="en-US" w:eastAsia="zh-CN"/>
        </w:rPr>
      </w:pPr>
    </w:p>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_GBK" w:hAnsi="方正小标宋_GBK" w:eastAsia="方正小标宋_GBK" w:cs="方正小标宋_GBK"/>
          <w:b w:val="0"/>
          <w:bCs w:val="0"/>
          <w:sz w:val="52"/>
          <w:szCs w:val="52"/>
          <w:lang w:val="en-US" w:eastAsia="zh-CN"/>
        </w:rPr>
      </w:pPr>
    </w:p>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_GBK" w:hAnsi="方正小标宋_GBK" w:eastAsia="方正小标宋_GBK" w:cs="方正小标宋_GBK"/>
          <w:b w:val="0"/>
          <w:bCs w:val="0"/>
          <w:sz w:val="52"/>
          <w:szCs w:val="52"/>
          <w:lang w:val="en-US" w:eastAsia="zh-CN"/>
        </w:rPr>
      </w:pPr>
      <w:r>
        <w:rPr>
          <w:rFonts w:hint="eastAsia" w:ascii="方正小标宋_GBK" w:hAnsi="方正小标宋_GBK" w:eastAsia="方正小标宋_GBK" w:cs="方正小标宋_GBK"/>
          <w:b w:val="0"/>
          <w:bCs w:val="0"/>
          <w:sz w:val="52"/>
          <w:szCs w:val="52"/>
          <w:lang w:val="en-US" w:eastAsia="zh-CN"/>
        </w:rPr>
        <w:t>巴彦淖尔市“十四五”消防救援事业</w:t>
      </w:r>
    </w:p>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_GBK" w:hAnsi="方正小标宋_GBK" w:eastAsia="方正小标宋_GBK" w:cs="方正小标宋_GBK"/>
          <w:b w:val="0"/>
          <w:bCs w:val="0"/>
          <w:sz w:val="52"/>
          <w:szCs w:val="52"/>
          <w:lang w:val="en-US" w:eastAsia="zh-CN"/>
        </w:rPr>
      </w:pPr>
      <w:r>
        <w:rPr>
          <w:rFonts w:hint="eastAsia" w:ascii="方正小标宋_GBK" w:hAnsi="方正小标宋_GBK" w:eastAsia="方正小标宋_GBK" w:cs="方正小标宋_GBK"/>
          <w:b w:val="0"/>
          <w:bCs w:val="0"/>
          <w:sz w:val="52"/>
          <w:szCs w:val="52"/>
          <w:lang w:val="en-US" w:eastAsia="zh-CN"/>
        </w:rPr>
        <w:t>规划</w:t>
      </w:r>
    </w:p>
    <w:p>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44"/>
          <w:szCs w:val="44"/>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44"/>
          <w:szCs w:val="44"/>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44"/>
          <w:szCs w:val="44"/>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44"/>
          <w:szCs w:val="44"/>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44"/>
          <w:szCs w:val="44"/>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44"/>
          <w:szCs w:val="44"/>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44"/>
          <w:szCs w:val="44"/>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44"/>
          <w:szCs w:val="44"/>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44"/>
          <w:szCs w:val="44"/>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44"/>
          <w:szCs w:val="44"/>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both"/>
        <w:rPr>
          <w:rFonts w:hint="eastAsia" w:ascii="方正楷体_GBK" w:hAnsi="方正楷体_GBK" w:eastAsia="方正楷体_GBK" w:cs="方正楷体_GBK"/>
          <w:b/>
          <w:bCs/>
          <w:sz w:val="44"/>
          <w:szCs w:val="44"/>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44"/>
          <w:szCs w:val="44"/>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巴彦淖尔市人民政府</w:t>
      </w:r>
    </w:p>
    <w:p>
      <w:pPr>
        <w:pStyle w:val="2"/>
        <w:keepNext w:val="0"/>
        <w:keepLines w:val="0"/>
        <w:pageBreakBefore w:val="0"/>
        <w:kinsoku/>
        <w:wordWrap/>
        <w:overflowPunct/>
        <w:topLinePunct w:val="0"/>
        <w:autoSpaceDE/>
        <w:autoSpaceDN/>
        <w:bidi w:val="0"/>
        <w:adjustRightInd/>
        <w:snapToGrid/>
        <w:spacing w:line="600" w:lineRule="exact"/>
        <w:jc w:val="both"/>
        <w:rPr>
          <w:rFonts w:hint="eastAsia" w:ascii="方正楷体_GBK" w:hAnsi="方正楷体_GBK" w:eastAsia="方正楷体_GBK" w:cs="方正楷体_GBK"/>
          <w:b/>
          <w:bCs/>
          <w:sz w:val="44"/>
          <w:szCs w:val="44"/>
          <w:lang w:val="en-US" w:eastAsia="zh-CN"/>
        </w:rPr>
      </w:pPr>
    </w:p>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kern w:val="2"/>
          <w:sz w:val="84"/>
          <w:szCs w:val="84"/>
          <w:lang w:val="en-US" w:eastAsia="zh-CN" w:bidi="ar-SA"/>
        </w:rPr>
        <w:sectPr>
          <w:footerReference r:id="rId3" w:type="default"/>
          <w:pgSz w:w="11906" w:h="16838"/>
          <w:pgMar w:top="1587" w:right="1474" w:bottom="1587" w:left="147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sdt>
      <w:sdtPr>
        <w:rPr>
          <w:rFonts w:hint="eastAsia" w:ascii="方正小标宋_GBK" w:hAnsi="方正小标宋_GBK" w:eastAsia="方正小标宋_GBK" w:cs="方正小标宋_GBK"/>
          <w:kern w:val="2"/>
          <w:sz w:val="84"/>
          <w:szCs w:val="84"/>
          <w:lang w:val="en-US" w:eastAsia="zh-CN" w:bidi="ar-SA"/>
        </w:rPr>
        <w:id w:val="147470025"/>
        <w15:color w:val="DBDBDB"/>
        <w:docPartObj>
          <w:docPartGallery w:val="Table of Contents"/>
          <w:docPartUnique/>
        </w:docPartObj>
      </w:sdtPr>
      <w:sdtEndPr>
        <w:rPr>
          <w:rFonts w:hint="eastAsia" w:ascii="方正仿宋_GBK" w:hAnsi="方正仿宋_GBK" w:eastAsia="方正仿宋_GBK" w:cs="方正仿宋_GBK"/>
          <w:spacing w:val="-20"/>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b/>
              <w:bCs/>
            </w:rPr>
          </w:pPr>
          <w:r>
            <w:rPr>
              <w:rFonts w:ascii="宋体" w:hAnsi="宋体" w:eastAsia="宋体"/>
              <w:b/>
              <w:bCs/>
              <w:sz w:val="21"/>
            </w:rPr>
            <w:t>目录</w:t>
          </w:r>
        </w:p>
        <w:p>
          <w:pPr>
            <w:pStyle w:val="9"/>
            <w:tabs>
              <w:tab w:val="right" w:leader="dot" w:pos="8958"/>
            </w:tabs>
          </w:pPr>
          <w:r>
            <w:rPr>
              <w:rFonts w:hint="eastAsia" w:ascii="方正仿宋_GBK" w:hAnsi="方正仿宋_GBK" w:eastAsia="方正仿宋_GBK" w:cs="方正仿宋_GBK"/>
              <w:spacing w:val="-20"/>
              <w:sz w:val="32"/>
              <w:szCs w:val="32"/>
              <w:lang w:val="en-US" w:eastAsia="zh-CN"/>
            </w:rPr>
            <w:fldChar w:fldCharType="begin"/>
          </w:r>
          <w:r>
            <w:rPr>
              <w:rFonts w:hint="eastAsia" w:ascii="方正仿宋_GBK" w:hAnsi="方正仿宋_GBK" w:eastAsia="方正仿宋_GBK" w:cs="方正仿宋_GBK"/>
              <w:spacing w:val="-20"/>
              <w:sz w:val="32"/>
              <w:szCs w:val="32"/>
              <w:lang w:val="en-US" w:eastAsia="zh-CN"/>
            </w:rPr>
            <w:instrText xml:space="preserve">TOC \o "1-3" \h \u </w:instrText>
          </w:r>
          <w:r>
            <w:rPr>
              <w:rFonts w:hint="eastAsia" w:ascii="方正仿宋_GBK" w:hAnsi="方正仿宋_GBK" w:eastAsia="方正仿宋_GBK" w:cs="方正仿宋_GBK"/>
              <w:spacing w:val="-20"/>
              <w:sz w:val="32"/>
              <w:szCs w:val="32"/>
              <w:lang w:val="en-US" w:eastAsia="zh-CN"/>
            </w:rPr>
            <w:fldChar w:fldCharType="separate"/>
          </w: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_Toc16269 </w:instrText>
          </w:r>
          <w:r>
            <w:rPr>
              <w:rFonts w:hint="eastAsia" w:ascii="方正仿宋_GBK" w:hAnsi="方正仿宋_GBK" w:eastAsia="方正仿宋_GBK" w:cs="方正仿宋_GBK"/>
              <w:spacing w:val="-20"/>
              <w:szCs w:val="32"/>
              <w:lang w:val="en-US" w:eastAsia="zh-CN"/>
            </w:rPr>
            <w:fldChar w:fldCharType="separate"/>
          </w:r>
          <w:r>
            <w:rPr>
              <w:rFonts w:hint="eastAsia" w:ascii="方正黑体_GBK" w:hAnsi="方正黑体_GBK" w:eastAsia="方正黑体_GBK" w:cs="方正黑体_GBK"/>
              <w:bCs w:val="0"/>
              <w:spacing w:val="-20"/>
              <w:szCs w:val="32"/>
            </w:rPr>
            <w:t>第一章  规划的基础和环境</w:t>
          </w:r>
          <w:r>
            <w:tab/>
          </w:r>
          <w:r>
            <w:rPr>
              <w:rFonts w:hint="eastAsia"/>
              <w:lang w:val="en-US" w:eastAsia="zh-CN"/>
            </w:rPr>
            <w:t>3</w:t>
          </w:r>
          <w:r>
            <w:rPr>
              <w:rFonts w:hint="eastAsia" w:ascii="方正仿宋_GBK" w:hAnsi="方正仿宋_GBK" w:eastAsia="方正仿宋_GBK" w:cs="方正仿宋_GBK"/>
              <w:spacing w:val="-20"/>
              <w:szCs w:val="32"/>
              <w:lang w:val="en-US" w:eastAsia="zh-CN"/>
            </w:rPr>
            <w:fldChar w:fldCharType="end"/>
          </w:r>
        </w:p>
        <w:p>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_Toc14015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lang w:eastAsia="zh-CN"/>
            </w:rPr>
            <w:t>一</w:t>
          </w:r>
          <w:r>
            <w:rPr>
              <w:rFonts w:hint="eastAsia" w:ascii="方正楷体_GBK" w:hAnsi="方正楷体_GBK" w:eastAsia="方正楷体_GBK" w:cs="方正楷体_GBK"/>
              <w:bCs/>
              <w:spacing w:val="-20"/>
              <w:szCs w:val="32"/>
              <w:lang w:val="en-US" w:eastAsia="zh-CN"/>
            </w:rPr>
            <w:t xml:space="preserve"> 、</w:t>
          </w:r>
          <w:r>
            <w:rPr>
              <w:rFonts w:hint="eastAsia" w:ascii="方正楷体_GBK" w:hAnsi="方正楷体_GBK" w:eastAsia="方正楷体_GBK" w:cs="方正楷体_GBK"/>
              <w:bCs/>
              <w:spacing w:val="-20"/>
              <w:szCs w:val="32"/>
            </w:rPr>
            <w:t>“十三五”期间建设成果</w:t>
          </w:r>
          <w:r>
            <w:tab/>
          </w:r>
          <w:r>
            <w:fldChar w:fldCharType="begin"/>
          </w:r>
          <w:r>
            <w:instrText xml:space="preserve"> PAGEREF _Toc14015 \h </w:instrText>
          </w:r>
          <w:r>
            <w:fldChar w:fldCharType="separate"/>
          </w:r>
          <w:r>
            <w:t>6</w:t>
          </w:r>
          <w:r>
            <w:fldChar w:fldCharType="end"/>
          </w:r>
          <w:r>
            <w:rPr>
              <w:rFonts w:hint="eastAsia" w:ascii="方正仿宋_GBK" w:hAnsi="方正仿宋_GBK" w:eastAsia="方正仿宋_GBK" w:cs="方正仿宋_GBK"/>
              <w:spacing w:val="-20"/>
              <w:szCs w:val="32"/>
              <w:lang w:val="en-US" w:eastAsia="zh-CN"/>
            </w:rPr>
            <w:fldChar w:fldCharType="end"/>
          </w:r>
        </w:p>
        <w:p>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_Toc29591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lang w:eastAsia="zh-CN"/>
            </w:rPr>
            <w:t>二、</w:t>
          </w:r>
          <w:r>
            <w:rPr>
              <w:rFonts w:hint="eastAsia" w:ascii="方正楷体_GBK" w:hAnsi="方正楷体_GBK" w:eastAsia="方正楷体_GBK" w:cs="方正楷体_GBK"/>
              <w:bCs/>
              <w:spacing w:val="-20"/>
              <w:szCs w:val="32"/>
            </w:rPr>
            <w:t>规划的环境</w:t>
          </w:r>
          <w:r>
            <w:tab/>
          </w:r>
          <w:r>
            <w:fldChar w:fldCharType="begin"/>
          </w:r>
          <w:r>
            <w:instrText xml:space="preserve"> PAGEREF _Toc29591 \h </w:instrText>
          </w:r>
          <w:r>
            <w:fldChar w:fldCharType="separate"/>
          </w:r>
          <w:r>
            <w:t>8</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_Toc23547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eastAsia="zh-CN"/>
            </w:rPr>
            <w:t>（一）</w:t>
          </w:r>
          <w:r>
            <w:rPr>
              <w:rFonts w:hint="eastAsia" w:ascii="方正仿宋_GBK" w:hAnsi="方正仿宋_GBK" w:eastAsia="方正仿宋_GBK" w:cs="方正仿宋_GBK"/>
              <w:bCs/>
              <w:spacing w:val="-20"/>
              <w:szCs w:val="32"/>
            </w:rPr>
            <w:t>面临的机遇</w:t>
          </w:r>
          <w:r>
            <w:tab/>
          </w:r>
          <w:r>
            <w:fldChar w:fldCharType="begin"/>
          </w:r>
          <w:r>
            <w:instrText xml:space="preserve"> PAGEREF _Toc23547 \h </w:instrText>
          </w:r>
          <w:r>
            <w:fldChar w:fldCharType="separate"/>
          </w:r>
          <w:r>
            <w:t>8</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_Toc29561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eastAsia="zh-CN"/>
            </w:rPr>
            <w:t>（二）</w:t>
          </w:r>
          <w:r>
            <w:rPr>
              <w:rFonts w:hint="eastAsia" w:ascii="方正仿宋_GBK" w:hAnsi="方正仿宋_GBK" w:eastAsia="方正仿宋_GBK" w:cs="方正仿宋_GBK"/>
              <w:bCs/>
              <w:spacing w:val="-20"/>
              <w:szCs w:val="32"/>
            </w:rPr>
            <w:t>面临的挑战</w:t>
          </w:r>
          <w:r>
            <w:tab/>
          </w:r>
          <w:r>
            <w:fldChar w:fldCharType="begin"/>
          </w:r>
          <w:r>
            <w:instrText xml:space="preserve"> PAGEREF _Toc29561 \h </w:instrText>
          </w:r>
          <w:r>
            <w:fldChar w:fldCharType="separate"/>
          </w:r>
          <w:r>
            <w:t>9</w:t>
          </w:r>
          <w:r>
            <w:fldChar w:fldCharType="end"/>
          </w:r>
          <w:r>
            <w:rPr>
              <w:rFonts w:hint="eastAsia" w:ascii="方正仿宋_GBK" w:hAnsi="方正仿宋_GBK" w:eastAsia="方正仿宋_GBK" w:cs="方正仿宋_GBK"/>
              <w:spacing w:val="-20"/>
              <w:szCs w:val="32"/>
              <w:lang w:val="en-US" w:eastAsia="zh-CN"/>
            </w:rPr>
            <w:fldChar w:fldCharType="end"/>
          </w:r>
        </w:p>
        <w:p>
          <w:pPr>
            <w:pStyle w:val="9"/>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_Toc29359 </w:instrText>
          </w:r>
          <w:r>
            <w:rPr>
              <w:rFonts w:hint="eastAsia" w:ascii="方正仿宋_GBK" w:hAnsi="方正仿宋_GBK" w:eastAsia="方正仿宋_GBK" w:cs="方正仿宋_GBK"/>
              <w:spacing w:val="-20"/>
              <w:szCs w:val="32"/>
              <w:lang w:val="en-US" w:eastAsia="zh-CN"/>
            </w:rPr>
            <w:fldChar w:fldCharType="separate"/>
          </w:r>
          <w:r>
            <w:rPr>
              <w:rFonts w:hint="eastAsia" w:ascii="方正黑体_GBK" w:hAnsi="方正黑体_GBK" w:eastAsia="方正黑体_GBK" w:cs="方正黑体_GBK"/>
              <w:bCs w:val="0"/>
              <w:spacing w:val="-20"/>
              <w:szCs w:val="32"/>
            </w:rPr>
            <w:t>第二章  指导思想、基本原则和建设目标</w:t>
          </w:r>
          <w:r>
            <w:tab/>
          </w:r>
          <w:r>
            <w:fldChar w:fldCharType="begin"/>
          </w:r>
          <w:r>
            <w:instrText xml:space="preserve"> PAGEREF _Toc29359 \h </w:instrText>
          </w:r>
          <w:r>
            <w:fldChar w:fldCharType="separate"/>
          </w:r>
          <w:r>
            <w:t>11</w:t>
          </w:r>
          <w:r>
            <w:fldChar w:fldCharType="end"/>
          </w:r>
          <w:r>
            <w:rPr>
              <w:rFonts w:hint="eastAsia" w:ascii="方正仿宋_GBK" w:hAnsi="方正仿宋_GBK" w:eastAsia="方正仿宋_GBK" w:cs="方正仿宋_GBK"/>
              <w:spacing w:val="-20"/>
              <w:szCs w:val="32"/>
              <w:lang w:val="en-US" w:eastAsia="zh-CN"/>
            </w:rPr>
            <w:fldChar w:fldCharType="end"/>
          </w:r>
        </w:p>
        <w:p>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_Toc15592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rPr>
            <w:t>一</w:t>
          </w:r>
          <w:r>
            <w:rPr>
              <w:rFonts w:hint="eastAsia" w:ascii="方正楷体_GBK" w:hAnsi="方正楷体_GBK" w:eastAsia="方正楷体_GBK" w:cs="方正楷体_GBK"/>
              <w:bCs/>
              <w:spacing w:val="-20"/>
              <w:szCs w:val="32"/>
              <w:lang w:val="en-US" w:eastAsia="zh-CN"/>
            </w:rPr>
            <w:t xml:space="preserve"> 、</w:t>
          </w:r>
          <w:r>
            <w:rPr>
              <w:rFonts w:hint="eastAsia" w:ascii="方正楷体_GBK" w:hAnsi="方正楷体_GBK" w:eastAsia="方正楷体_GBK" w:cs="方正楷体_GBK"/>
              <w:bCs/>
              <w:spacing w:val="-20"/>
              <w:szCs w:val="32"/>
            </w:rPr>
            <w:t>指导思想</w:t>
          </w:r>
          <w:r>
            <w:tab/>
          </w:r>
          <w:r>
            <w:fldChar w:fldCharType="begin"/>
          </w:r>
          <w:r>
            <w:instrText xml:space="preserve"> PAGEREF _Toc15592 \h </w:instrText>
          </w:r>
          <w:r>
            <w:fldChar w:fldCharType="separate"/>
          </w:r>
          <w:r>
            <w:t>11</w:t>
          </w:r>
          <w:r>
            <w:fldChar w:fldCharType="end"/>
          </w:r>
          <w:r>
            <w:rPr>
              <w:rFonts w:hint="eastAsia" w:ascii="方正仿宋_GBK" w:hAnsi="方正仿宋_GBK" w:eastAsia="方正仿宋_GBK" w:cs="方正仿宋_GBK"/>
              <w:spacing w:val="-20"/>
              <w:szCs w:val="32"/>
              <w:lang w:val="en-US" w:eastAsia="zh-CN"/>
            </w:rPr>
            <w:fldChar w:fldCharType="end"/>
          </w:r>
        </w:p>
        <w:p>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_Toc31707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rPr>
            <w:t>二</w:t>
          </w:r>
          <w:r>
            <w:rPr>
              <w:rFonts w:hint="eastAsia" w:ascii="方正楷体_GBK" w:hAnsi="方正楷体_GBK" w:eastAsia="方正楷体_GBK" w:cs="方正楷体_GBK"/>
              <w:bCs/>
              <w:spacing w:val="-20"/>
              <w:szCs w:val="32"/>
              <w:lang w:val="en-US" w:eastAsia="zh-CN"/>
            </w:rPr>
            <w:t xml:space="preserve"> 、</w:t>
          </w:r>
          <w:r>
            <w:rPr>
              <w:rFonts w:hint="eastAsia" w:ascii="方正楷体_GBK" w:hAnsi="方正楷体_GBK" w:eastAsia="方正楷体_GBK" w:cs="方正楷体_GBK"/>
              <w:bCs/>
              <w:spacing w:val="-20"/>
              <w:szCs w:val="32"/>
            </w:rPr>
            <w:t>基本原则</w:t>
          </w:r>
          <w:r>
            <w:tab/>
          </w:r>
          <w:r>
            <w:fldChar w:fldCharType="begin"/>
          </w:r>
          <w:r>
            <w:instrText xml:space="preserve"> PAGEREF _Toc31707 \h </w:instrText>
          </w:r>
          <w:r>
            <w:fldChar w:fldCharType="separate"/>
          </w:r>
          <w:r>
            <w:t>11</w:t>
          </w:r>
          <w:r>
            <w:fldChar w:fldCharType="end"/>
          </w:r>
          <w:r>
            <w:rPr>
              <w:rFonts w:hint="eastAsia" w:ascii="方正仿宋_GBK" w:hAnsi="方正仿宋_GBK" w:eastAsia="方正仿宋_GBK" w:cs="方正仿宋_GBK"/>
              <w:spacing w:val="-20"/>
              <w:szCs w:val="32"/>
              <w:lang w:val="en-US" w:eastAsia="zh-CN"/>
            </w:rPr>
            <w:fldChar w:fldCharType="end"/>
          </w:r>
        </w:p>
        <w:p>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_Toc18073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rPr>
            <w:t>三</w:t>
          </w:r>
          <w:r>
            <w:rPr>
              <w:rFonts w:hint="eastAsia" w:ascii="方正楷体_GBK" w:hAnsi="方正楷体_GBK" w:eastAsia="方正楷体_GBK" w:cs="方正楷体_GBK"/>
              <w:bCs/>
              <w:spacing w:val="-20"/>
              <w:szCs w:val="32"/>
              <w:lang w:val="en-US" w:eastAsia="zh-CN"/>
            </w:rPr>
            <w:t>、</w:t>
          </w:r>
          <w:r>
            <w:rPr>
              <w:rFonts w:hint="eastAsia" w:ascii="方正楷体_GBK" w:hAnsi="方正楷体_GBK" w:eastAsia="方正楷体_GBK" w:cs="方正楷体_GBK"/>
              <w:bCs/>
              <w:spacing w:val="-20"/>
              <w:szCs w:val="32"/>
            </w:rPr>
            <w:t>建设目标</w:t>
          </w:r>
          <w:r>
            <w:tab/>
          </w:r>
          <w:r>
            <w:fldChar w:fldCharType="begin"/>
          </w:r>
          <w:r>
            <w:instrText xml:space="preserve"> PAGEREF _Toc18073 \h </w:instrText>
          </w:r>
          <w:r>
            <w:fldChar w:fldCharType="separate"/>
          </w:r>
          <w:r>
            <w:t>12</w:t>
          </w:r>
          <w:r>
            <w:fldChar w:fldCharType="end"/>
          </w:r>
          <w:r>
            <w:rPr>
              <w:rFonts w:hint="eastAsia" w:ascii="方正仿宋_GBK" w:hAnsi="方正仿宋_GBK" w:eastAsia="方正仿宋_GBK" w:cs="方正仿宋_GBK"/>
              <w:spacing w:val="-20"/>
              <w:szCs w:val="32"/>
              <w:lang w:val="en-US" w:eastAsia="zh-CN"/>
            </w:rPr>
            <w:fldChar w:fldCharType="end"/>
          </w:r>
        </w:p>
        <w:p>
          <w:pPr>
            <w:pStyle w:val="9"/>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_Toc28232 </w:instrText>
          </w:r>
          <w:r>
            <w:rPr>
              <w:rFonts w:hint="eastAsia" w:ascii="方正仿宋_GBK" w:hAnsi="方正仿宋_GBK" w:eastAsia="方正仿宋_GBK" w:cs="方正仿宋_GBK"/>
              <w:spacing w:val="-20"/>
              <w:szCs w:val="32"/>
              <w:lang w:val="en-US" w:eastAsia="zh-CN"/>
            </w:rPr>
            <w:fldChar w:fldCharType="separate"/>
          </w:r>
          <w:r>
            <w:rPr>
              <w:rFonts w:hint="eastAsia" w:ascii="方正黑体_GBK" w:hAnsi="方正黑体_GBK" w:eastAsia="方正黑体_GBK" w:cs="方正黑体_GBK"/>
              <w:bCs w:val="0"/>
              <w:spacing w:val="-20"/>
              <w:szCs w:val="32"/>
            </w:rPr>
            <w:t>第三章  主要任务和重大</w:t>
          </w:r>
          <w:r>
            <w:rPr>
              <w:rFonts w:hint="eastAsia" w:ascii="方正黑体_GBK" w:hAnsi="方正黑体_GBK" w:eastAsia="方正黑体_GBK" w:cs="方正黑体_GBK"/>
              <w:bCs w:val="0"/>
              <w:spacing w:val="-20"/>
              <w:szCs w:val="32"/>
              <w:lang w:eastAsia="zh-CN"/>
            </w:rPr>
            <w:t>项目</w:t>
          </w:r>
          <w:r>
            <w:tab/>
          </w:r>
          <w:r>
            <w:fldChar w:fldCharType="begin"/>
          </w:r>
          <w:r>
            <w:instrText xml:space="preserve"> PAGEREF _Toc28232 \h </w:instrText>
          </w:r>
          <w:r>
            <w:fldChar w:fldCharType="separate"/>
          </w:r>
          <w:r>
            <w:t>14</w:t>
          </w:r>
          <w:r>
            <w:fldChar w:fldCharType="end"/>
          </w:r>
          <w:r>
            <w:rPr>
              <w:rFonts w:hint="eastAsia" w:ascii="方正仿宋_GBK" w:hAnsi="方正仿宋_GBK" w:eastAsia="方正仿宋_GBK" w:cs="方正仿宋_GBK"/>
              <w:spacing w:val="-20"/>
              <w:szCs w:val="32"/>
              <w:lang w:val="en-US" w:eastAsia="zh-CN"/>
            </w:rPr>
            <w:fldChar w:fldCharType="end"/>
          </w:r>
        </w:p>
        <w:p>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_Toc17268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rPr>
            <w:t>一</w:t>
          </w:r>
          <w:r>
            <w:rPr>
              <w:rFonts w:hint="eastAsia" w:ascii="方正楷体_GBK" w:hAnsi="方正楷体_GBK" w:eastAsia="方正楷体_GBK" w:cs="方正楷体_GBK"/>
              <w:bCs/>
              <w:spacing w:val="-20"/>
              <w:szCs w:val="32"/>
              <w:lang w:val="en-US" w:eastAsia="zh-CN"/>
            </w:rPr>
            <w:t xml:space="preserve"> </w:t>
          </w:r>
          <w:r>
            <w:rPr>
              <w:rFonts w:hint="eastAsia" w:ascii="方正楷体_GBK" w:hAnsi="方正楷体_GBK" w:eastAsia="方正楷体_GBK" w:cs="方正楷体_GBK"/>
              <w:bCs/>
              <w:spacing w:val="-20"/>
              <w:szCs w:val="32"/>
              <w:lang w:eastAsia="zh-CN"/>
            </w:rPr>
            <w:t>、</w:t>
          </w:r>
          <w:r>
            <w:rPr>
              <w:rFonts w:hint="eastAsia" w:ascii="方正楷体_GBK" w:hAnsi="方正楷体_GBK" w:eastAsia="方正楷体_GBK" w:cs="方正楷体_GBK"/>
              <w:bCs/>
              <w:spacing w:val="-20"/>
              <w:szCs w:val="32"/>
            </w:rPr>
            <w:t>全面推动消防安全责任落实</w:t>
          </w:r>
          <w:r>
            <w:tab/>
          </w:r>
          <w:r>
            <w:fldChar w:fldCharType="begin"/>
          </w:r>
          <w:r>
            <w:instrText xml:space="preserve"> PAGEREF _Toc17268 \h </w:instrText>
          </w:r>
          <w:r>
            <w:fldChar w:fldCharType="separate"/>
          </w:r>
          <w:r>
            <w:t>14</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_Toc29560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（一）落实党委政府领导责任</w:t>
          </w:r>
          <w:r>
            <w:tab/>
          </w:r>
          <w:r>
            <w:fldChar w:fldCharType="begin"/>
          </w:r>
          <w:r>
            <w:instrText xml:space="preserve"> PAGEREF _Toc29560 \h </w:instrText>
          </w:r>
          <w:r>
            <w:fldChar w:fldCharType="separate"/>
          </w:r>
          <w:r>
            <w:t>14</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_Toc22590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（二）落实行业部门监管责任</w:t>
          </w:r>
          <w:r>
            <w:tab/>
          </w:r>
          <w:r>
            <w:fldChar w:fldCharType="begin"/>
          </w:r>
          <w:r>
            <w:instrText xml:space="preserve"> PAGEREF _Toc22590 \h </w:instrText>
          </w:r>
          <w:r>
            <w:fldChar w:fldCharType="separate"/>
          </w:r>
          <w:r>
            <w:t>14</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_Toc295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（三）落实社会单位主体责任</w:t>
          </w:r>
          <w:r>
            <w:tab/>
          </w:r>
          <w:r>
            <w:fldChar w:fldCharType="begin"/>
          </w:r>
          <w:r>
            <w:instrText xml:space="preserve"> PAGEREF _Toc295 \h </w:instrText>
          </w:r>
          <w:r>
            <w:fldChar w:fldCharType="separate"/>
          </w:r>
          <w:r>
            <w:t>15</w:t>
          </w:r>
          <w:r>
            <w:fldChar w:fldCharType="end"/>
          </w:r>
          <w:r>
            <w:rPr>
              <w:rFonts w:hint="eastAsia" w:ascii="方正仿宋_GBK" w:hAnsi="方正仿宋_GBK" w:eastAsia="方正仿宋_GBK" w:cs="方正仿宋_GBK"/>
              <w:spacing w:val="-20"/>
              <w:szCs w:val="32"/>
              <w:lang w:val="en-US" w:eastAsia="zh-CN"/>
            </w:rPr>
            <w:fldChar w:fldCharType="end"/>
          </w:r>
        </w:p>
        <w:p>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_Toc8109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rPr>
            <w:t>二、 全面推进公共消防设施建设</w:t>
          </w:r>
          <w:r>
            <w:tab/>
          </w:r>
          <w:r>
            <w:fldChar w:fldCharType="begin"/>
          </w:r>
          <w:r>
            <w:instrText xml:space="preserve"> PAGEREF _Toc8109 \h </w:instrText>
          </w:r>
          <w:r>
            <w:fldChar w:fldCharType="separate"/>
          </w:r>
          <w:r>
            <w:t>15</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_Toc23437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（一）加强消防经费保障建设</w:t>
          </w:r>
          <w:r>
            <w:tab/>
          </w:r>
          <w:r>
            <w:fldChar w:fldCharType="begin"/>
          </w:r>
          <w:r>
            <w:instrText xml:space="preserve"> PAGEREF _Toc23437 \h </w:instrText>
          </w:r>
          <w:r>
            <w:fldChar w:fldCharType="separate"/>
          </w:r>
          <w:r>
            <w:t>15</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_Toc30724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（二）加强公共消防基础建设</w:t>
          </w:r>
          <w:r>
            <w:tab/>
          </w:r>
          <w:r>
            <w:fldChar w:fldCharType="begin"/>
          </w:r>
          <w:r>
            <w:instrText xml:space="preserve"> PAGEREF _Toc30724 \h </w:instrText>
          </w:r>
          <w:r>
            <w:fldChar w:fldCharType="separate"/>
          </w:r>
          <w:r>
            <w:t>16</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_Toc12043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（三）加强消防队站建设</w:t>
          </w:r>
          <w:r>
            <w:tab/>
          </w:r>
          <w:r>
            <w:fldChar w:fldCharType="begin"/>
          </w:r>
          <w:r>
            <w:instrText xml:space="preserve"> PAGEREF _Toc12043 \h </w:instrText>
          </w:r>
          <w:r>
            <w:fldChar w:fldCharType="separate"/>
          </w:r>
          <w:r>
            <w:t>16</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_Toc11944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（四）加强消防装备建设</w:t>
          </w:r>
          <w:r>
            <w:tab/>
          </w:r>
          <w:r>
            <w:fldChar w:fldCharType="begin"/>
          </w:r>
          <w:r>
            <w:instrText xml:space="preserve"> PAGEREF _Toc11944 \h </w:instrText>
          </w:r>
          <w:r>
            <w:fldChar w:fldCharType="separate"/>
          </w:r>
          <w:r>
            <w:t>17</w:t>
          </w:r>
          <w:r>
            <w:fldChar w:fldCharType="end"/>
          </w:r>
          <w:r>
            <w:rPr>
              <w:rFonts w:hint="eastAsia" w:ascii="方正仿宋_GBK" w:hAnsi="方正仿宋_GBK" w:eastAsia="方正仿宋_GBK" w:cs="方正仿宋_GBK"/>
              <w:spacing w:val="-20"/>
              <w:szCs w:val="32"/>
              <w:lang w:val="en-US" w:eastAsia="zh-CN"/>
            </w:rPr>
            <w:fldChar w:fldCharType="end"/>
          </w:r>
        </w:p>
        <w:p>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_Toc9191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lang w:eastAsia="zh-CN"/>
            </w:rPr>
            <w:t>三</w:t>
          </w:r>
          <w:r>
            <w:rPr>
              <w:rFonts w:hint="eastAsia" w:ascii="方正楷体_GBK" w:hAnsi="方正楷体_GBK" w:eastAsia="方正楷体_GBK" w:cs="方正楷体_GBK"/>
              <w:bCs/>
              <w:spacing w:val="-20"/>
              <w:szCs w:val="32"/>
              <w:lang w:val="en-US" w:eastAsia="zh-CN"/>
            </w:rPr>
            <w:t>、</w:t>
          </w:r>
          <w:r>
            <w:rPr>
              <w:rFonts w:hint="eastAsia" w:ascii="方正楷体_GBK" w:hAnsi="方正楷体_GBK" w:eastAsia="方正楷体_GBK" w:cs="方正楷体_GBK"/>
              <w:bCs/>
              <w:spacing w:val="-20"/>
              <w:szCs w:val="32"/>
            </w:rPr>
            <w:t>全面提升火灾防控治理能力</w:t>
          </w:r>
          <w:r>
            <w:tab/>
          </w:r>
          <w:r>
            <w:fldChar w:fldCharType="begin"/>
          </w:r>
          <w:r>
            <w:instrText xml:space="preserve"> PAGEREF _Toc9191 \h </w:instrText>
          </w:r>
          <w:r>
            <w:fldChar w:fldCharType="separate"/>
          </w:r>
          <w:r>
            <w:t>18</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_Toc339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（一）强化消防综合治理</w:t>
          </w:r>
          <w:r>
            <w:tab/>
          </w:r>
          <w:r>
            <w:fldChar w:fldCharType="begin"/>
          </w:r>
          <w:r>
            <w:instrText xml:space="preserve"> PAGEREF _Toc339 \h </w:instrText>
          </w:r>
          <w:r>
            <w:fldChar w:fldCharType="separate"/>
          </w:r>
          <w:r>
            <w:t>18</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_Toc9539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（二）创新消防安全管理</w:t>
          </w:r>
          <w:r>
            <w:tab/>
          </w:r>
          <w:r>
            <w:fldChar w:fldCharType="begin"/>
          </w:r>
          <w:r>
            <w:instrText xml:space="preserve"> PAGEREF _Toc9539 \h </w:instrText>
          </w:r>
          <w:r>
            <w:fldChar w:fldCharType="separate"/>
          </w:r>
          <w:r>
            <w:t>18</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_Toc27078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（三）推动社会群防群治</w:t>
          </w:r>
          <w:r>
            <w:tab/>
          </w:r>
          <w:r>
            <w:fldChar w:fldCharType="begin"/>
          </w:r>
          <w:r>
            <w:instrText xml:space="preserve"> PAGEREF _Toc27078 \h </w:instrText>
          </w:r>
          <w:r>
            <w:fldChar w:fldCharType="separate"/>
          </w:r>
          <w:r>
            <w:t>19</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_Toc7286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（四）深化消防执法改革</w:t>
          </w:r>
          <w:r>
            <w:tab/>
          </w:r>
          <w:r>
            <w:fldChar w:fldCharType="begin"/>
          </w:r>
          <w:r>
            <w:instrText xml:space="preserve"> PAGEREF _Toc7286 \h </w:instrText>
          </w:r>
          <w:r>
            <w:fldChar w:fldCharType="separate"/>
          </w:r>
          <w:r>
            <w:t>19</w:t>
          </w:r>
          <w:r>
            <w:fldChar w:fldCharType="end"/>
          </w:r>
          <w:r>
            <w:rPr>
              <w:rFonts w:hint="eastAsia" w:ascii="方正仿宋_GBK" w:hAnsi="方正仿宋_GBK" w:eastAsia="方正仿宋_GBK" w:cs="方正仿宋_GBK"/>
              <w:spacing w:val="-20"/>
              <w:szCs w:val="32"/>
              <w:lang w:val="en-US" w:eastAsia="zh-CN"/>
            </w:rPr>
            <w:fldChar w:fldCharType="end"/>
          </w:r>
        </w:p>
        <w:p>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_Toc4140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lang w:eastAsia="zh-CN"/>
            </w:rPr>
            <w:t>四</w:t>
          </w:r>
          <w:r>
            <w:rPr>
              <w:rFonts w:hint="eastAsia" w:ascii="方正楷体_GBK" w:hAnsi="方正楷体_GBK" w:eastAsia="方正楷体_GBK" w:cs="方正楷体_GBK"/>
              <w:bCs/>
              <w:spacing w:val="-20"/>
              <w:szCs w:val="32"/>
              <w:lang w:val="en-US" w:eastAsia="zh-CN"/>
            </w:rPr>
            <w:t>、</w:t>
          </w:r>
          <w:r>
            <w:rPr>
              <w:rFonts w:hint="eastAsia" w:ascii="方正楷体_GBK" w:hAnsi="方正楷体_GBK" w:eastAsia="方正楷体_GBK" w:cs="方正楷体_GBK"/>
              <w:bCs/>
              <w:spacing w:val="-20"/>
              <w:szCs w:val="32"/>
            </w:rPr>
            <w:t>加强农村牧区消防工作</w:t>
          </w:r>
          <w:r>
            <w:tab/>
          </w:r>
          <w:r>
            <w:fldChar w:fldCharType="begin"/>
          </w:r>
          <w:r>
            <w:instrText xml:space="preserve"> PAGEREF _Toc4140 \h </w:instrText>
          </w:r>
          <w:r>
            <w:fldChar w:fldCharType="separate"/>
          </w:r>
          <w:r>
            <w:t>20</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_Toc11367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（一）构建农村牧区消防治理保障体系</w:t>
          </w:r>
          <w:r>
            <w:tab/>
          </w:r>
          <w:r>
            <w:fldChar w:fldCharType="begin"/>
          </w:r>
          <w:r>
            <w:instrText xml:space="preserve"> PAGEREF _Toc11367 \h </w:instrText>
          </w:r>
          <w:r>
            <w:fldChar w:fldCharType="separate"/>
          </w:r>
          <w:r>
            <w:t>20</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_Toc24979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（二）加大农村消防基础设施建设</w:t>
          </w:r>
          <w:r>
            <w:tab/>
          </w:r>
          <w:r>
            <w:fldChar w:fldCharType="begin"/>
          </w:r>
          <w:r>
            <w:instrText xml:space="preserve"> PAGEREF _Toc24979 \h </w:instrText>
          </w:r>
          <w:r>
            <w:fldChar w:fldCharType="separate"/>
          </w:r>
          <w:r>
            <w:t>20</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_Toc5284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（三）推进农村消防站建设</w:t>
          </w:r>
          <w:r>
            <w:tab/>
          </w:r>
          <w:r>
            <w:fldChar w:fldCharType="begin"/>
          </w:r>
          <w:r>
            <w:instrText xml:space="preserve"> PAGEREF _Toc5284 \h </w:instrText>
          </w:r>
          <w:r>
            <w:fldChar w:fldCharType="separate"/>
          </w:r>
          <w:r>
            <w:t>20</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_Toc29474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（四）有效减少农村火灾</w:t>
          </w:r>
          <w:r>
            <w:tab/>
          </w:r>
          <w:r>
            <w:fldChar w:fldCharType="begin"/>
          </w:r>
          <w:r>
            <w:instrText xml:space="preserve"> PAGEREF _Toc29474 \h </w:instrText>
          </w:r>
          <w:r>
            <w:fldChar w:fldCharType="separate"/>
          </w:r>
          <w:r>
            <w:t>21</w:t>
          </w:r>
          <w:r>
            <w:fldChar w:fldCharType="end"/>
          </w:r>
          <w:r>
            <w:rPr>
              <w:rFonts w:hint="eastAsia" w:ascii="方正仿宋_GBK" w:hAnsi="方正仿宋_GBK" w:eastAsia="方正仿宋_GBK" w:cs="方正仿宋_GBK"/>
              <w:spacing w:val="-20"/>
              <w:szCs w:val="32"/>
              <w:lang w:val="en-US" w:eastAsia="zh-CN"/>
            </w:rPr>
            <w:fldChar w:fldCharType="end"/>
          </w:r>
        </w:p>
        <w:p>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_Toc25159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lang w:eastAsia="zh-CN"/>
            </w:rPr>
            <w:t>五</w:t>
          </w:r>
          <w:r>
            <w:rPr>
              <w:rFonts w:hint="eastAsia" w:ascii="方正楷体_GBK" w:hAnsi="方正楷体_GBK" w:eastAsia="方正楷体_GBK" w:cs="方正楷体_GBK"/>
              <w:bCs/>
              <w:spacing w:val="-20"/>
              <w:szCs w:val="32"/>
              <w:lang w:val="en-US" w:eastAsia="zh-CN"/>
            </w:rPr>
            <w:t>、</w:t>
          </w:r>
          <w:r>
            <w:rPr>
              <w:rFonts w:hint="eastAsia" w:ascii="方正楷体_GBK" w:hAnsi="方正楷体_GBK" w:eastAsia="方正楷体_GBK" w:cs="方正楷体_GBK"/>
              <w:bCs/>
              <w:spacing w:val="-20"/>
              <w:szCs w:val="32"/>
            </w:rPr>
            <w:t>全面加强消防宣传教育培训</w:t>
          </w:r>
          <w:r>
            <w:tab/>
          </w:r>
          <w:r>
            <w:fldChar w:fldCharType="begin"/>
          </w:r>
          <w:r>
            <w:instrText xml:space="preserve"> PAGEREF _Toc25159 \h </w:instrText>
          </w:r>
          <w:r>
            <w:fldChar w:fldCharType="separate"/>
          </w:r>
          <w:r>
            <w:t>21</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_Toc24558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（一）加强消防宣传政策保障</w:t>
          </w:r>
          <w:r>
            <w:tab/>
          </w:r>
          <w:r>
            <w:fldChar w:fldCharType="begin"/>
          </w:r>
          <w:r>
            <w:instrText xml:space="preserve"> PAGEREF _Toc24558 \h </w:instrText>
          </w:r>
          <w:r>
            <w:fldChar w:fldCharType="separate"/>
          </w:r>
          <w:r>
            <w:t>21</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_Toc1253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（二）推进消防宣传基础设施建设</w:t>
          </w:r>
          <w:r>
            <w:tab/>
          </w:r>
          <w:r>
            <w:fldChar w:fldCharType="begin"/>
          </w:r>
          <w:r>
            <w:instrText xml:space="preserve"> PAGEREF _Toc1253 \h </w:instrText>
          </w:r>
          <w:r>
            <w:fldChar w:fldCharType="separate"/>
          </w:r>
          <w:r>
            <w:t>22</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_Toc32422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（三）实施全民消防教育培训计划</w:t>
          </w:r>
          <w:r>
            <w:tab/>
          </w:r>
          <w:r>
            <w:fldChar w:fldCharType="begin"/>
          </w:r>
          <w:r>
            <w:instrText xml:space="preserve"> PAGEREF _Toc32422 \h </w:instrText>
          </w:r>
          <w:r>
            <w:fldChar w:fldCharType="separate"/>
          </w:r>
          <w:r>
            <w:t>22</w:t>
          </w:r>
          <w:r>
            <w:fldChar w:fldCharType="end"/>
          </w:r>
          <w:r>
            <w:rPr>
              <w:rFonts w:hint="eastAsia" w:ascii="方正仿宋_GBK" w:hAnsi="方正仿宋_GBK" w:eastAsia="方正仿宋_GBK" w:cs="方正仿宋_GBK"/>
              <w:spacing w:val="-20"/>
              <w:szCs w:val="32"/>
              <w:lang w:val="en-US" w:eastAsia="zh-CN"/>
            </w:rPr>
            <w:fldChar w:fldCharType="end"/>
          </w:r>
        </w:p>
        <w:p>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_Toc20513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lang w:eastAsia="zh-CN"/>
            </w:rPr>
            <w:t>六</w:t>
          </w:r>
          <w:r>
            <w:rPr>
              <w:rFonts w:hint="eastAsia" w:ascii="方正楷体_GBK" w:hAnsi="方正楷体_GBK" w:eastAsia="方正楷体_GBK" w:cs="方正楷体_GBK"/>
              <w:bCs/>
              <w:spacing w:val="-20"/>
              <w:szCs w:val="32"/>
              <w:lang w:val="en-US" w:eastAsia="zh-CN"/>
            </w:rPr>
            <w:t>、</w:t>
          </w:r>
          <w:r>
            <w:rPr>
              <w:rFonts w:hint="eastAsia" w:ascii="方正楷体_GBK" w:hAnsi="方正楷体_GBK" w:eastAsia="方正楷体_GBK" w:cs="方正楷体_GBK"/>
              <w:bCs/>
              <w:spacing w:val="-20"/>
              <w:szCs w:val="32"/>
            </w:rPr>
            <w:t>构建消防救援力量体系</w:t>
          </w:r>
          <w:r>
            <w:tab/>
          </w:r>
          <w:r>
            <w:fldChar w:fldCharType="begin"/>
          </w:r>
          <w:r>
            <w:instrText xml:space="preserve"> PAGEREF _Toc20513 \h </w:instrText>
          </w:r>
          <w:r>
            <w:fldChar w:fldCharType="separate"/>
          </w:r>
          <w:r>
            <w:t>23</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_Toc30059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（一）加强应急联动机制建设</w:t>
          </w:r>
          <w:r>
            <w:tab/>
          </w:r>
          <w:r>
            <w:fldChar w:fldCharType="begin"/>
          </w:r>
          <w:r>
            <w:instrText xml:space="preserve"> PAGEREF _Toc30059 \h </w:instrText>
          </w:r>
          <w:r>
            <w:fldChar w:fldCharType="separate"/>
          </w:r>
          <w:r>
            <w:t>23</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_Toc30352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（二）加强水域航空救援队伍建设。</w:t>
          </w:r>
          <w:r>
            <w:tab/>
          </w:r>
          <w:r>
            <w:fldChar w:fldCharType="begin"/>
          </w:r>
          <w:r>
            <w:instrText xml:space="preserve"> PAGEREF _Toc30352 \h </w:instrText>
          </w:r>
          <w:r>
            <w:fldChar w:fldCharType="separate"/>
          </w:r>
          <w:r>
            <w:t>23</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_Toc9608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（三）加强专业化攻坚队伍建设。</w:t>
          </w:r>
          <w:r>
            <w:tab/>
          </w:r>
          <w:r>
            <w:fldChar w:fldCharType="begin"/>
          </w:r>
          <w:r>
            <w:instrText xml:space="preserve"> PAGEREF _Toc9608 \h </w:instrText>
          </w:r>
          <w:r>
            <w:fldChar w:fldCharType="separate"/>
          </w:r>
          <w:r>
            <w:t>24</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_Toc12567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（四）加强战勤保障体系建设</w:t>
          </w:r>
          <w:r>
            <w:tab/>
          </w:r>
          <w:r>
            <w:fldChar w:fldCharType="begin"/>
          </w:r>
          <w:r>
            <w:instrText xml:space="preserve"> PAGEREF _Toc12567 \h </w:instrText>
          </w:r>
          <w:r>
            <w:fldChar w:fldCharType="separate"/>
          </w:r>
          <w:r>
            <w:t>24</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_Toc30197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（五）加强多元消防力量建设</w:t>
          </w:r>
          <w:r>
            <w:tab/>
          </w:r>
          <w:r>
            <w:fldChar w:fldCharType="begin"/>
          </w:r>
          <w:r>
            <w:instrText xml:space="preserve"> PAGEREF _Toc30197 \h </w:instrText>
          </w:r>
          <w:r>
            <w:fldChar w:fldCharType="separate"/>
          </w:r>
          <w:r>
            <w:t>25</w:t>
          </w:r>
          <w:r>
            <w:fldChar w:fldCharType="end"/>
          </w:r>
          <w:r>
            <w:rPr>
              <w:rFonts w:hint="eastAsia" w:ascii="方正仿宋_GBK" w:hAnsi="方正仿宋_GBK" w:eastAsia="方正仿宋_GBK" w:cs="方正仿宋_GBK"/>
              <w:spacing w:val="-20"/>
              <w:szCs w:val="32"/>
              <w:lang w:val="en-US" w:eastAsia="zh-CN"/>
            </w:rPr>
            <w:fldChar w:fldCharType="end"/>
          </w:r>
        </w:p>
        <w:p>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_Toc7661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lang w:eastAsia="zh-CN"/>
            </w:rPr>
            <w:t>七、</w:t>
          </w:r>
          <w:r>
            <w:rPr>
              <w:rFonts w:hint="eastAsia" w:ascii="方正楷体_GBK" w:hAnsi="方正楷体_GBK" w:eastAsia="方正楷体_GBK" w:cs="方正楷体_GBK"/>
              <w:bCs/>
              <w:spacing w:val="-20"/>
              <w:szCs w:val="32"/>
            </w:rPr>
            <w:t>深化消防信息化建设</w:t>
          </w:r>
          <w:r>
            <w:tab/>
          </w:r>
          <w:r>
            <w:fldChar w:fldCharType="begin"/>
          </w:r>
          <w:r>
            <w:instrText xml:space="preserve"> PAGEREF _Toc7661 \h </w:instrText>
          </w:r>
          <w:r>
            <w:fldChar w:fldCharType="separate"/>
          </w:r>
          <w:r>
            <w:t>26</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_Toc31419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（一）打造新型指挥体系</w:t>
          </w:r>
          <w:r>
            <w:tab/>
          </w:r>
          <w:r>
            <w:fldChar w:fldCharType="begin"/>
          </w:r>
          <w:r>
            <w:instrText xml:space="preserve"> PAGEREF _Toc31419 \h </w:instrText>
          </w:r>
          <w:r>
            <w:fldChar w:fldCharType="separate"/>
          </w:r>
          <w:r>
            <w:t>26</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_Toc31967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（二）建强应急通信体系</w:t>
          </w:r>
          <w:r>
            <w:tab/>
          </w:r>
          <w:r>
            <w:fldChar w:fldCharType="begin"/>
          </w:r>
          <w:r>
            <w:instrText xml:space="preserve"> PAGEREF _Toc31967 \h </w:instrText>
          </w:r>
          <w:r>
            <w:fldChar w:fldCharType="separate"/>
          </w:r>
          <w:r>
            <w:t>26</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_Toc10424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（三）深化“智慧消防”建设</w:t>
          </w:r>
          <w:r>
            <w:tab/>
          </w:r>
          <w:r>
            <w:fldChar w:fldCharType="begin"/>
          </w:r>
          <w:r>
            <w:instrText xml:space="preserve"> PAGEREF _Toc10424 \h </w:instrText>
          </w:r>
          <w:r>
            <w:fldChar w:fldCharType="separate"/>
          </w:r>
          <w:r>
            <w:t>27</w:t>
          </w:r>
          <w:r>
            <w:fldChar w:fldCharType="end"/>
          </w:r>
          <w:r>
            <w:rPr>
              <w:rFonts w:hint="eastAsia" w:ascii="方正仿宋_GBK" w:hAnsi="方正仿宋_GBK" w:eastAsia="方正仿宋_GBK" w:cs="方正仿宋_GBK"/>
              <w:spacing w:val="-20"/>
              <w:szCs w:val="32"/>
              <w:lang w:val="en-US" w:eastAsia="zh-CN"/>
            </w:rPr>
            <w:fldChar w:fldCharType="end"/>
          </w:r>
        </w:p>
        <w:p>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_Toc23183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lang w:eastAsia="zh-CN"/>
            </w:rPr>
            <w:t>八</w:t>
          </w:r>
          <w:r>
            <w:rPr>
              <w:rFonts w:hint="eastAsia" w:ascii="方正楷体_GBK" w:hAnsi="方正楷体_GBK" w:eastAsia="方正楷体_GBK" w:cs="方正楷体_GBK"/>
              <w:bCs/>
              <w:spacing w:val="-20"/>
              <w:szCs w:val="32"/>
              <w:lang w:val="en-US" w:eastAsia="zh-CN"/>
            </w:rPr>
            <w:t>、</w:t>
          </w:r>
          <w:r>
            <w:rPr>
              <w:rFonts w:hint="eastAsia" w:ascii="方正楷体_GBK" w:hAnsi="方正楷体_GBK" w:eastAsia="方正楷体_GBK" w:cs="方正楷体_GBK"/>
              <w:bCs/>
              <w:spacing w:val="-20"/>
              <w:szCs w:val="32"/>
            </w:rPr>
            <w:t>加强消防职业保障</w:t>
          </w:r>
          <w:r>
            <w:tab/>
          </w:r>
          <w:r>
            <w:fldChar w:fldCharType="begin"/>
          </w:r>
          <w:r>
            <w:instrText xml:space="preserve"> PAGEREF _Toc23183 \h </w:instrText>
          </w:r>
          <w:r>
            <w:fldChar w:fldCharType="separate"/>
          </w:r>
          <w:r>
            <w:t>27</w:t>
          </w:r>
          <w:r>
            <w:fldChar w:fldCharType="end"/>
          </w:r>
          <w:r>
            <w:rPr>
              <w:rFonts w:hint="eastAsia" w:ascii="方正仿宋_GBK" w:hAnsi="方正仿宋_GBK" w:eastAsia="方正仿宋_GBK" w:cs="方正仿宋_GBK"/>
              <w:spacing w:val="-20"/>
              <w:szCs w:val="32"/>
              <w:lang w:val="en-US" w:eastAsia="zh-CN"/>
            </w:rPr>
            <w:fldChar w:fldCharType="end"/>
          </w:r>
        </w:p>
        <w:p>
          <w:pPr>
            <w:pStyle w:val="9"/>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_Toc89 </w:instrText>
          </w:r>
          <w:r>
            <w:rPr>
              <w:rFonts w:hint="eastAsia" w:ascii="方正仿宋_GBK" w:hAnsi="方正仿宋_GBK" w:eastAsia="方正仿宋_GBK" w:cs="方正仿宋_GBK"/>
              <w:spacing w:val="-20"/>
              <w:szCs w:val="32"/>
              <w:lang w:val="en-US" w:eastAsia="zh-CN"/>
            </w:rPr>
            <w:fldChar w:fldCharType="separate"/>
          </w:r>
          <w:r>
            <w:rPr>
              <w:rFonts w:hint="eastAsia" w:ascii="方正黑体_GBK" w:hAnsi="方正黑体_GBK" w:eastAsia="方正黑体_GBK" w:cs="方正黑体_GBK"/>
              <w:bCs w:val="0"/>
              <w:spacing w:val="-20"/>
              <w:szCs w:val="32"/>
            </w:rPr>
            <w:t>第四章 保障措施</w:t>
          </w:r>
          <w:r>
            <w:tab/>
          </w:r>
          <w:r>
            <w:fldChar w:fldCharType="begin"/>
          </w:r>
          <w:r>
            <w:instrText xml:space="preserve"> PAGEREF _Toc89 \h </w:instrText>
          </w:r>
          <w:r>
            <w:fldChar w:fldCharType="separate"/>
          </w:r>
          <w:r>
            <w:t>28</w:t>
          </w:r>
          <w:r>
            <w:fldChar w:fldCharType="end"/>
          </w:r>
          <w:r>
            <w:rPr>
              <w:rFonts w:hint="eastAsia" w:ascii="方正仿宋_GBK" w:hAnsi="方正仿宋_GBK" w:eastAsia="方正仿宋_GBK" w:cs="方正仿宋_GBK"/>
              <w:spacing w:val="-20"/>
              <w:szCs w:val="32"/>
              <w:lang w:val="en-US" w:eastAsia="zh-CN"/>
            </w:rPr>
            <w:fldChar w:fldCharType="end"/>
          </w:r>
        </w:p>
        <w:p>
          <w:pPr>
            <w:pStyle w:val="9"/>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_Toc2749 </w:instrText>
          </w:r>
          <w:r>
            <w:rPr>
              <w:rFonts w:hint="eastAsia" w:ascii="方正仿宋_GBK" w:hAnsi="方正仿宋_GBK" w:eastAsia="方正仿宋_GBK" w:cs="方正仿宋_GBK"/>
              <w:spacing w:val="-20"/>
              <w:szCs w:val="32"/>
              <w:lang w:val="en-US" w:eastAsia="zh-CN"/>
            </w:rPr>
            <w:fldChar w:fldCharType="separate"/>
          </w:r>
          <w:r>
            <w:rPr>
              <w:rFonts w:hint="eastAsia" w:ascii="仿宋_GB2312" w:hAnsi="仿宋_GB2312" w:eastAsia="仿宋_GB2312" w:cs="仿宋_GB2312"/>
              <w:bCs/>
              <w:snapToGrid w:val="0"/>
              <w:kern w:val="0"/>
              <w:szCs w:val="22"/>
              <w:lang w:eastAsia="zh-CN"/>
            </w:rPr>
            <w:t>附表：</w:t>
          </w:r>
          <w:r>
            <w:tab/>
          </w:r>
          <w:r>
            <w:fldChar w:fldCharType="begin"/>
          </w:r>
          <w:r>
            <w:instrText xml:space="preserve"> PAGEREF _Toc2749 \h </w:instrText>
          </w:r>
          <w:r>
            <w:fldChar w:fldCharType="separate"/>
          </w:r>
          <w:r>
            <w:t>30</w:t>
          </w:r>
          <w:r>
            <w:fldChar w:fldCharType="end"/>
          </w:r>
          <w:r>
            <w:rPr>
              <w:rFonts w:hint="eastAsia" w:ascii="方正仿宋_GBK" w:hAnsi="方正仿宋_GBK" w:eastAsia="方正仿宋_GBK" w:cs="方正仿宋_GBK"/>
              <w:spacing w:val="-20"/>
              <w:szCs w:val="32"/>
              <w:lang w:val="en-US" w:eastAsia="zh-CN"/>
            </w:rPr>
            <w:fldChar w:fldCharType="end"/>
          </w:r>
        </w:p>
        <w:p>
          <w:pPr>
            <w:pStyle w:val="9"/>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_Toc12094 </w:instrText>
          </w:r>
          <w:r>
            <w:rPr>
              <w:rFonts w:hint="eastAsia" w:ascii="方正仿宋_GBK" w:hAnsi="方正仿宋_GBK" w:eastAsia="方正仿宋_GBK" w:cs="方正仿宋_GBK"/>
              <w:spacing w:val="-20"/>
              <w:szCs w:val="32"/>
              <w:lang w:val="en-US" w:eastAsia="zh-CN"/>
            </w:rPr>
            <w:fldChar w:fldCharType="separate"/>
          </w:r>
          <w:r>
            <w:rPr>
              <w:rFonts w:hint="eastAsia" w:ascii="仿宋_GB2312" w:hAnsi="仿宋_GB2312" w:eastAsia="仿宋_GB2312" w:cs="仿宋_GB2312"/>
              <w:snapToGrid w:val="0"/>
              <w:kern w:val="0"/>
              <w:szCs w:val="22"/>
              <w:lang w:val="en-US" w:eastAsia="zh-CN"/>
            </w:rPr>
            <w:t>1、 “十四五”期间消防站建设规划表</w:t>
          </w:r>
          <w:r>
            <w:tab/>
          </w:r>
          <w:r>
            <w:fldChar w:fldCharType="begin"/>
          </w:r>
          <w:r>
            <w:instrText xml:space="preserve"> PAGEREF _Toc12094 \h </w:instrText>
          </w:r>
          <w:r>
            <w:fldChar w:fldCharType="separate"/>
          </w:r>
          <w:r>
            <w:t>30</w:t>
          </w:r>
          <w:r>
            <w:fldChar w:fldCharType="end"/>
          </w:r>
          <w:r>
            <w:rPr>
              <w:rFonts w:hint="eastAsia" w:ascii="方正仿宋_GBK" w:hAnsi="方正仿宋_GBK" w:eastAsia="方正仿宋_GBK" w:cs="方正仿宋_GBK"/>
              <w:spacing w:val="-20"/>
              <w:szCs w:val="32"/>
              <w:lang w:val="en-US" w:eastAsia="zh-CN"/>
            </w:rPr>
            <w:fldChar w:fldCharType="end"/>
          </w:r>
        </w:p>
        <w:p>
          <w:pPr>
            <w:pStyle w:val="9"/>
            <w:tabs>
              <w:tab w:val="right" w:leader="dot" w:pos="8958"/>
            </w:tabs>
            <w:rPr>
              <w:rFonts w:hint="default"/>
              <w:lang w:val="en-US"/>
            </w:rPr>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_Toc4580 </w:instrText>
          </w:r>
          <w:r>
            <w:rPr>
              <w:rFonts w:hint="eastAsia" w:ascii="方正仿宋_GBK" w:hAnsi="方正仿宋_GBK" w:eastAsia="方正仿宋_GBK" w:cs="方正仿宋_GBK"/>
              <w:spacing w:val="-20"/>
              <w:szCs w:val="32"/>
              <w:lang w:val="en-US" w:eastAsia="zh-CN"/>
            </w:rPr>
            <w:fldChar w:fldCharType="separate"/>
          </w:r>
          <w:r>
            <w:rPr>
              <w:rFonts w:hint="eastAsia" w:ascii="仿宋_GB2312" w:hAnsi="仿宋_GB2312" w:eastAsia="仿宋_GB2312" w:cs="仿宋_GB2312"/>
              <w:snapToGrid w:val="0"/>
              <w:kern w:val="0"/>
              <w:szCs w:val="22"/>
              <w:lang w:val="en-US" w:eastAsia="zh-CN"/>
            </w:rPr>
            <w:t>2、 “十四五”期间消防救援车辆装备建设规划表</w:t>
          </w:r>
          <w:r>
            <w:tab/>
          </w:r>
          <w:r>
            <w:rPr>
              <w:rFonts w:hint="eastAsia"/>
              <w:lang w:val="en-US" w:eastAsia="zh-CN"/>
            </w:rPr>
            <w:t>3</w:t>
          </w:r>
          <w:r>
            <w:rPr>
              <w:rFonts w:hint="eastAsia" w:ascii="方正仿宋_GBK" w:hAnsi="方正仿宋_GBK" w:eastAsia="方正仿宋_GBK" w:cs="方正仿宋_GBK"/>
              <w:spacing w:val="-20"/>
              <w:szCs w:val="32"/>
              <w:lang w:val="en-US" w:eastAsia="zh-CN"/>
            </w:rPr>
            <w:fldChar w:fldCharType="end"/>
          </w:r>
          <w:r>
            <w:rPr>
              <w:rFonts w:hint="eastAsia" w:ascii="方正仿宋_GBK" w:hAnsi="方正仿宋_GBK" w:eastAsia="方正仿宋_GBK" w:cs="方正仿宋_GBK"/>
              <w:spacing w:val="-20"/>
              <w:szCs w:val="32"/>
              <w:lang w:val="en-US" w:eastAsia="zh-CN"/>
            </w:rPr>
            <w:t>0</w:t>
          </w:r>
        </w:p>
        <w:p>
          <w:pPr>
            <w:pStyle w:val="9"/>
            <w:tabs>
              <w:tab w:val="right" w:leader="dot" w:pos="8958"/>
            </w:tabs>
            <w:rPr>
              <w:rFonts w:hint="default"/>
              <w:lang w:val="en-US"/>
            </w:rPr>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_Toc26598 </w:instrText>
          </w:r>
          <w:r>
            <w:rPr>
              <w:rFonts w:hint="eastAsia" w:ascii="方正仿宋_GBK" w:hAnsi="方正仿宋_GBK" w:eastAsia="方正仿宋_GBK" w:cs="方正仿宋_GBK"/>
              <w:spacing w:val="-20"/>
              <w:szCs w:val="32"/>
              <w:lang w:val="en-US" w:eastAsia="zh-CN"/>
            </w:rPr>
            <w:fldChar w:fldCharType="separate"/>
          </w:r>
          <w:r>
            <w:rPr>
              <w:rFonts w:hint="eastAsia" w:ascii="仿宋_GB2312" w:hAnsi="仿宋_GB2312" w:eastAsia="仿宋_GB2312" w:cs="仿宋_GB2312"/>
              <w:snapToGrid w:val="0"/>
              <w:kern w:val="0"/>
              <w:szCs w:val="22"/>
              <w:lang w:val="en-US" w:eastAsia="zh-CN"/>
            </w:rPr>
            <w:t>3、 “十四五”期间消防救援队伍器材装备配备规划表</w:t>
          </w:r>
          <w:r>
            <w:tab/>
          </w:r>
          <w:r>
            <w:rPr>
              <w:rFonts w:hint="eastAsia"/>
              <w:lang w:val="en-US" w:eastAsia="zh-CN"/>
            </w:rPr>
            <w:t>3</w:t>
          </w:r>
          <w:r>
            <w:rPr>
              <w:rFonts w:hint="eastAsia" w:ascii="方正仿宋_GBK" w:hAnsi="方正仿宋_GBK" w:eastAsia="方正仿宋_GBK" w:cs="方正仿宋_GBK"/>
              <w:spacing w:val="-20"/>
              <w:szCs w:val="32"/>
              <w:lang w:val="en-US" w:eastAsia="zh-CN"/>
            </w:rPr>
            <w:fldChar w:fldCharType="end"/>
          </w:r>
          <w:r>
            <w:rPr>
              <w:rFonts w:hint="eastAsia" w:ascii="方正仿宋_GBK" w:hAnsi="方正仿宋_GBK" w:eastAsia="方正仿宋_GBK" w:cs="方正仿宋_GBK"/>
              <w:spacing w:val="-20"/>
              <w:szCs w:val="32"/>
              <w:lang w:val="en-US" w:eastAsia="zh-CN"/>
            </w:rPr>
            <w:t>3</w:t>
          </w:r>
        </w:p>
        <w:p>
          <w:pPr>
            <w:pStyle w:val="9"/>
            <w:tabs>
              <w:tab w:val="right" w:leader="dot" w:pos="8958"/>
            </w:tabs>
            <w:rPr>
              <w:rFonts w:hint="default"/>
              <w:lang w:val="en-US"/>
            </w:rPr>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_Toc24750 </w:instrText>
          </w:r>
          <w:r>
            <w:rPr>
              <w:rFonts w:hint="eastAsia" w:ascii="方正仿宋_GBK" w:hAnsi="方正仿宋_GBK" w:eastAsia="方正仿宋_GBK" w:cs="方正仿宋_GBK"/>
              <w:spacing w:val="-20"/>
              <w:szCs w:val="32"/>
              <w:lang w:val="en-US" w:eastAsia="zh-CN"/>
            </w:rPr>
            <w:fldChar w:fldCharType="separate"/>
          </w:r>
          <w:r>
            <w:rPr>
              <w:rFonts w:hint="eastAsia" w:ascii="仿宋_GB2312" w:hAnsi="仿宋_GB2312" w:eastAsia="仿宋_GB2312" w:cs="仿宋_GB2312"/>
              <w:snapToGrid w:val="0"/>
              <w:kern w:val="0"/>
              <w:szCs w:val="22"/>
              <w:lang w:val="en-US" w:eastAsia="zh-CN"/>
            </w:rPr>
            <w:t>4、 “十四五”期间市政消火栓建设规划表</w:t>
          </w:r>
          <w:r>
            <w:tab/>
          </w:r>
          <w:r>
            <w:rPr>
              <w:rFonts w:hint="eastAsia"/>
              <w:lang w:val="en-US" w:eastAsia="zh-CN"/>
            </w:rPr>
            <w:t>3</w:t>
          </w:r>
          <w:r>
            <w:rPr>
              <w:rFonts w:hint="eastAsia" w:ascii="方正仿宋_GBK" w:hAnsi="方正仿宋_GBK" w:eastAsia="方正仿宋_GBK" w:cs="方正仿宋_GBK"/>
              <w:spacing w:val="-20"/>
              <w:szCs w:val="32"/>
              <w:lang w:val="en-US" w:eastAsia="zh-CN"/>
            </w:rPr>
            <w:fldChar w:fldCharType="end"/>
          </w:r>
          <w:r>
            <w:rPr>
              <w:rFonts w:hint="eastAsia" w:ascii="方正仿宋_GBK" w:hAnsi="方正仿宋_GBK" w:eastAsia="方正仿宋_GBK" w:cs="方正仿宋_GBK"/>
              <w:spacing w:val="-20"/>
              <w:szCs w:val="32"/>
              <w:lang w:val="en-US" w:eastAsia="zh-CN"/>
            </w:rPr>
            <w:t>4</w:t>
          </w:r>
        </w:p>
        <w:p>
          <w:pPr>
            <w:pStyle w:val="9"/>
            <w:tabs>
              <w:tab w:val="right" w:leader="dot" w:pos="8958"/>
            </w:tabs>
            <w:rPr>
              <w:rFonts w:hint="default"/>
              <w:lang w:val="en-US"/>
            </w:rPr>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_Toc26583 </w:instrText>
          </w:r>
          <w:r>
            <w:rPr>
              <w:rFonts w:hint="eastAsia" w:ascii="方正仿宋_GBK" w:hAnsi="方正仿宋_GBK" w:eastAsia="方正仿宋_GBK" w:cs="方正仿宋_GBK"/>
              <w:spacing w:val="-20"/>
              <w:szCs w:val="32"/>
              <w:lang w:val="en-US" w:eastAsia="zh-CN"/>
            </w:rPr>
            <w:fldChar w:fldCharType="separate"/>
          </w:r>
          <w:r>
            <w:rPr>
              <w:rFonts w:hint="eastAsia" w:ascii="仿宋_GB2312" w:hAnsi="仿宋_GB2312" w:eastAsia="仿宋_GB2312" w:cs="仿宋_GB2312"/>
              <w:snapToGrid w:val="0"/>
              <w:kern w:val="0"/>
              <w:szCs w:val="22"/>
              <w:lang w:val="en-US" w:eastAsia="zh-CN"/>
            </w:rPr>
            <w:t>5、 “十四五”规划新建农村消防站统计表</w:t>
          </w:r>
          <w:r>
            <w:tab/>
          </w:r>
          <w:r>
            <w:rPr>
              <w:rFonts w:hint="eastAsia"/>
              <w:lang w:val="en-US" w:eastAsia="zh-CN"/>
            </w:rPr>
            <w:t>3</w:t>
          </w:r>
          <w:r>
            <w:rPr>
              <w:rFonts w:hint="eastAsia" w:ascii="方正仿宋_GBK" w:hAnsi="方正仿宋_GBK" w:eastAsia="方正仿宋_GBK" w:cs="方正仿宋_GBK"/>
              <w:spacing w:val="-20"/>
              <w:szCs w:val="32"/>
              <w:lang w:val="en-US" w:eastAsia="zh-CN"/>
            </w:rPr>
            <w:fldChar w:fldCharType="end"/>
          </w:r>
          <w:r>
            <w:rPr>
              <w:rFonts w:hint="eastAsia" w:ascii="方正仿宋_GBK" w:hAnsi="方正仿宋_GBK" w:eastAsia="方正仿宋_GBK" w:cs="方正仿宋_GBK"/>
              <w:spacing w:val="-20"/>
              <w:szCs w:val="32"/>
              <w:lang w:val="en-US" w:eastAsia="zh-CN"/>
            </w:rPr>
            <w:t>5</w:t>
          </w:r>
        </w:p>
        <w:p>
          <w:pPr>
            <w:pStyle w:val="9"/>
            <w:tabs>
              <w:tab w:val="right" w:leader="dot" w:pos="8958"/>
            </w:tabs>
            <w:rPr>
              <w:rFonts w:hint="default"/>
              <w:lang w:val="en-US"/>
            </w:rPr>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_Toc6154 </w:instrText>
          </w:r>
          <w:r>
            <w:rPr>
              <w:rFonts w:hint="eastAsia" w:ascii="方正仿宋_GBK" w:hAnsi="方正仿宋_GBK" w:eastAsia="方正仿宋_GBK" w:cs="方正仿宋_GBK"/>
              <w:spacing w:val="-20"/>
              <w:szCs w:val="32"/>
              <w:lang w:val="en-US" w:eastAsia="zh-CN"/>
            </w:rPr>
            <w:fldChar w:fldCharType="separate"/>
          </w:r>
          <w:r>
            <w:rPr>
              <w:rFonts w:hint="eastAsia" w:ascii="仿宋_GB2312" w:hAnsi="仿宋_GB2312" w:eastAsia="仿宋_GB2312" w:cs="仿宋_GB2312"/>
              <w:snapToGrid w:val="0"/>
              <w:kern w:val="0"/>
              <w:szCs w:val="22"/>
              <w:lang w:val="en-US" w:eastAsia="zh-CN"/>
            </w:rPr>
            <w:t>6、 “十四五”规划新建城市政府专职消防队统计表</w:t>
          </w:r>
          <w:r>
            <w:tab/>
          </w:r>
          <w:r>
            <w:rPr>
              <w:rFonts w:hint="eastAsia"/>
              <w:lang w:val="en-US" w:eastAsia="zh-CN"/>
            </w:rPr>
            <w:t>3</w:t>
          </w:r>
          <w:r>
            <w:rPr>
              <w:rFonts w:hint="eastAsia" w:ascii="方正仿宋_GBK" w:hAnsi="方正仿宋_GBK" w:eastAsia="方正仿宋_GBK" w:cs="方正仿宋_GBK"/>
              <w:spacing w:val="-20"/>
              <w:szCs w:val="32"/>
              <w:lang w:val="en-US" w:eastAsia="zh-CN"/>
            </w:rPr>
            <w:fldChar w:fldCharType="end"/>
          </w:r>
          <w:r>
            <w:rPr>
              <w:rFonts w:hint="eastAsia" w:ascii="方正仿宋_GBK" w:hAnsi="方正仿宋_GBK" w:eastAsia="方正仿宋_GBK" w:cs="方正仿宋_GBK"/>
              <w:spacing w:val="-20"/>
              <w:szCs w:val="32"/>
              <w:lang w:val="en-US" w:eastAsia="zh-CN"/>
            </w:rPr>
            <w:t>6</w:t>
          </w:r>
        </w:p>
        <w:p>
          <w:pPr>
            <w:pStyle w:val="9"/>
            <w:tabs>
              <w:tab w:val="right" w:leader="dot" w:pos="8958"/>
            </w:tabs>
            <w:rPr>
              <w:rFonts w:hint="default"/>
              <w:lang w:val="en-US"/>
            </w:rPr>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_Toc10201 </w:instrText>
          </w:r>
          <w:r>
            <w:rPr>
              <w:rFonts w:hint="eastAsia" w:ascii="方正仿宋_GBK" w:hAnsi="方正仿宋_GBK" w:eastAsia="方正仿宋_GBK" w:cs="方正仿宋_GBK"/>
              <w:spacing w:val="-20"/>
              <w:szCs w:val="32"/>
              <w:lang w:val="en-US" w:eastAsia="zh-CN"/>
            </w:rPr>
            <w:fldChar w:fldCharType="separate"/>
          </w:r>
          <w:r>
            <w:rPr>
              <w:rFonts w:hint="default" w:ascii="仿宋_GB2312" w:hAnsi="仿宋_GB2312" w:eastAsia="仿宋_GB2312" w:cs="仿宋_GB2312"/>
              <w:snapToGrid w:val="0"/>
              <w:kern w:val="0"/>
              <w:szCs w:val="22"/>
              <w:lang w:val="en-US" w:eastAsia="zh-CN"/>
            </w:rPr>
            <w:t xml:space="preserve">7、 </w:t>
          </w:r>
          <w:r>
            <w:rPr>
              <w:rFonts w:hint="eastAsia" w:ascii="仿宋_GB2312" w:hAnsi="仿宋_GB2312" w:eastAsia="仿宋_GB2312" w:cs="仿宋_GB2312"/>
              <w:snapToGrid w:val="0"/>
              <w:kern w:val="0"/>
              <w:szCs w:val="22"/>
              <w:lang w:val="en-US" w:eastAsia="zh-CN"/>
            </w:rPr>
            <w:t>“十四五”期间政府专职队车辆装备建设规划表</w:t>
          </w:r>
          <w:r>
            <w:tab/>
          </w:r>
          <w:r>
            <w:rPr>
              <w:rFonts w:hint="eastAsia"/>
              <w:lang w:val="en-US" w:eastAsia="zh-CN"/>
            </w:rPr>
            <w:t>3</w:t>
          </w:r>
          <w:r>
            <w:rPr>
              <w:rFonts w:hint="eastAsia" w:ascii="方正仿宋_GBK" w:hAnsi="方正仿宋_GBK" w:eastAsia="方正仿宋_GBK" w:cs="方正仿宋_GBK"/>
              <w:spacing w:val="-20"/>
              <w:szCs w:val="32"/>
              <w:lang w:val="en-US" w:eastAsia="zh-CN"/>
            </w:rPr>
            <w:fldChar w:fldCharType="end"/>
          </w:r>
          <w:r>
            <w:rPr>
              <w:rFonts w:hint="eastAsia" w:ascii="方正仿宋_GBK" w:hAnsi="方正仿宋_GBK" w:eastAsia="方正仿宋_GBK" w:cs="方正仿宋_GBK"/>
              <w:spacing w:val="-20"/>
              <w:szCs w:val="32"/>
              <w:lang w:val="en-US" w:eastAsia="zh-CN"/>
            </w:rPr>
            <w:t>7</w:t>
          </w:r>
        </w:p>
        <w:p>
          <w:pPr>
            <w:ind w:firstLine="34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Cs w:val="32"/>
              <w:lang w:val="en-US" w:eastAsia="zh-CN"/>
            </w:rPr>
            <w:fldChar w:fldCharType="end"/>
          </w:r>
        </w:p>
      </w:sdtContent>
    </w:sdt>
    <w:p>
      <w:pPr>
        <w:rPr>
          <w:rFonts w:hint="eastAsia" w:ascii="方正仿宋_GBK" w:hAnsi="方正仿宋_GBK" w:eastAsia="方正仿宋_GBK" w:cs="方正仿宋_GBK"/>
          <w:spacing w:val="-20"/>
          <w:sz w:val="32"/>
          <w:szCs w:val="32"/>
        </w:rPr>
      </w:pPr>
      <w:r>
        <w:rPr>
          <w:rFonts w:hint="eastAsia" w:ascii="方正仿宋_GBK" w:hAnsi="方正仿宋_GBK" w:eastAsia="方正仿宋_GBK" w:cs="方正仿宋_GBK"/>
          <w:spacing w:val="-20"/>
          <w:sz w:val="32"/>
          <w:szCs w:val="32"/>
        </w:rPr>
        <w:br w:type="page"/>
      </w:r>
    </w:p>
    <w:p>
      <w:pPr>
        <w:keepNext w:val="0"/>
        <w:keepLines w:val="0"/>
        <w:pageBreakBefore w:val="0"/>
        <w:kinsoku/>
        <w:wordWrap/>
        <w:overflowPunct/>
        <w:topLinePunct w:val="0"/>
        <w:autoSpaceDE/>
        <w:autoSpaceDN/>
        <w:bidi w:val="0"/>
        <w:spacing w:line="600" w:lineRule="exact"/>
        <w:ind w:firstLine="560" w:firstLineChars="200"/>
        <w:rPr>
          <w:rFonts w:ascii="方正仿宋_GBK" w:hAnsi="方正仿宋_GBK" w:eastAsia="方正仿宋_GBK" w:cs="方正仿宋_GBK"/>
          <w:spacing w:val="-20"/>
          <w:sz w:val="32"/>
          <w:szCs w:val="32"/>
        </w:rPr>
      </w:pPr>
      <w:r>
        <w:rPr>
          <w:rFonts w:hint="eastAsia" w:ascii="方正仿宋_GBK" w:hAnsi="方正仿宋_GBK" w:eastAsia="方正仿宋_GBK" w:cs="方正仿宋_GBK"/>
          <w:spacing w:val="-20"/>
          <w:sz w:val="32"/>
          <w:szCs w:val="32"/>
        </w:rPr>
        <w:t>“十四五”时期是我国全面建设社会主义现代化</w:t>
      </w:r>
      <w:r>
        <w:rPr>
          <w:rFonts w:hint="eastAsia" w:ascii="方正仿宋_GBK" w:hAnsi="方正仿宋_GBK" w:eastAsia="方正仿宋_GBK" w:cs="方正仿宋_GBK"/>
          <w:spacing w:val="-20"/>
          <w:sz w:val="32"/>
          <w:szCs w:val="32"/>
          <w:lang w:eastAsia="zh-CN"/>
        </w:rPr>
        <w:t>强国</w:t>
      </w:r>
      <w:r>
        <w:rPr>
          <w:rFonts w:hint="eastAsia" w:ascii="方正仿宋_GBK" w:hAnsi="方正仿宋_GBK" w:eastAsia="方正仿宋_GBK" w:cs="方正仿宋_GBK"/>
          <w:spacing w:val="-20"/>
          <w:sz w:val="32"/>
          <w:szCs w:val="32"/>
        </w:rPr>
        <w:t>的</w:t>
      </w:r>
      <w:r>
        <w:rPr>
          <w:rFonts w:hint="eastAsia" w:ascii="方正仿宋_GBK" w:hAnsi="方正仿宋_GBK" w:eastAsia="方正仿宋_GBK" w:cs="方正仿宋_GBK"/>
          <w:spacing w:val="-20"/>
          <w:sz w:val="32"/>
          <w:szCs w:val="32"/>
          <w:lang w:eastAsia="zh-CN"/>
        </w:rPr>
        <w:t>重要</w:t>
      </w:r>
      <w:r>
        <w:rPr>
          <w:rFonts w:hint="eastAsia" w:ascii="方正仿宋_GBK" w:hAnsi="方正仿宋_GBK" w:eastAsia="方正仿宋_GBK" w:cs="方正仿宋_GBK"/>
          <w:spacing w:val="-20"/>
          <w:sz w:val="32"/>
          <w:szCs w:val="32"/>
        </w:rPr>
        <w:t>时期，也是</w:t>
      </w:r>
      <w:r>
        <w:rPr>
          <w:rFonts w:hint="eastAsia" w:ascii="方正仿宋_GBK" w:hAnsi="方正仿宋_GBK" w:eastAsia="方正仿宋_GBK" w:cs="方正仿宋_GBK"/>
          <w:spacing w:val="-20"/>
          <w:sz w:val="32"/>
          <w:szCs w:val="32"/>
          <w:lang w:eastAsia="zh-CN"/>
        </w:rPr>
        <w:t>巴彦淖尔</w:t>
      </w:r>
      <w:r>
        <w:rPr>
          <w:rFonts w:hint="eastAsia" w:ascii="方正仿宋_GBK" w:hAnsi="方正仿宋_GBK" w:eastAsia="方正仿宋_GBK" w:cs="方正仿宋_GBK"/>
          <w:spacing w:val="-20"/>
          <w:sz w:val="32"/>
          <w:szCs w:val="32"/>
        </w:rPr>
        <w:t>实现绿色高质量发展的攻坚时期。为进一步推进“十四五”期间我市消防</w:t>
      </w:r>
      <w:r>
        <w:rPr>
          <w:rFonts w:hint="eastAsia" w:ascii="方正仿宋_GBK" w:hAnsi="方正仿宋_GBK" w:eastAsia="方正仿宋_GBK" w:cs="方正仿宋_GBK"/>
          <w:spacing w:val="-20"/>
          <w:sz w:val="32"/>
          <w:szCs w:val="32"/>
          <w:lang w:eastAsia="zh-CN"/>
        </w:rPr>
        <w:t>救援</w:t>
      </w:r>
      <w:r>
        <w:rPr>
          <w:rFonts w:hint="eastAsia" w:ascii="方正仿宋_GBK" w:hAnsi="方正仿宋_GBK" w:eastAsia="方正仿宋_GBK" w:cs="方正仿宋_GBK"/>
          <w:spacing w:val="-20"/>
          <w:sz w:val="32"/>
          <w:szCs w:val="32"/>
        </w:rPr>
        <w:t>事业发展，根据《中华人民共和国消防法》《内蒙古自治区消防条例》《巴彦淖尔市“十四五”发展规划编制工作方案》（巴政办发〔2020〕4号），结合我市经济社会发展的实际，编制本规划。本规划是“十四五”期间我市消防</w:t>
      </w:r>
      <w:r>
        <w:rPr>
          <w:rFonts w:hint="eastAsia" w:ascii="方正仿宋_GBK" w:hAnsi="方正仿宋_GBK" w:eastAsia="方正仿宋_GBK" w:cs="方正仿宋_GBK"/>
          <w:spacing w:val="-20"/>
          <w:sz w:val="32"/>
          <w:szCs w:val="32"/>
          <w:lang w:eastAsia="zh-CN"/>
        </w:rPr>
        <w:t>救援</w:t>
      </w:r>
      <w:r>
        <w:rPr>
          <w:rFonts w:hint="eastAsia" w:ascii="方正仿宋_GBK" w:hAnsi="方正仿宋_GBK" w:eastAsia="方正仿宋_GBK" w:cs="方正仿宋_GBK"/>
          <w:spacing w:val="-20"/>
          <w:sz w:val="32"/>
          <w:szCs w:val="32"/>
        </w:rPr>
        <w:t>工作的指导性文件，规划期为2021年至2025年。</w:t>
      </w:r>
    </w:p>
    <w:p>
      <w:pPr>
        <w:keepNext w:val="0"/>
        <w:keepLines w:val="0"/>
        <w:pageBreakBefore w:val="0"/>
        <w:kinsoku/>
        <w:wordWrap/>
        <w:overflowPunct/>
        <w:topLinePunct w:val="0"/>
        <w:autoSpaceDE/>
        <w:autoSpaceDN/>
        <w:bidi w:val="0"/>
        <w:adjustRightInd w:val="0"/>
        <w:snapToGrid w:val="0"/>
        <w:spacing w:line="600" w:lineRule="exact"/>
        <w:jc w:val="center"/>
        <w:rPr>
          <w:rFonts w:hint="eastAsia" w:ascii="方正黑体_GBK" w:hAnsi="方正黑体_GBK" w:eastAsia="方正黑体_GBK" w:cs="方正黑体_GBK"/>
          <w:b/>
          <w:bCs/>
          <w:spacing w:val="-20"/>
          <w:sz w:val="32"/>
          <w:szCs w:val="32"/>
        </w:rPr>
      </w:pPr>
    </w:p>
    <w:p>
      <w:pPr>
        <w:keepNext w:val="0"/>
        <w:keepLines w:val="0"/>
        <w:pageBreakBefore w:val="0"/>
        <w:kinsoku/>
        <w:wordWrap/>
        <w:overflowPunct/>
        <w:topLinePunct w:val="0"/>
        <w:autoSpaceDE/>
        <w:autoSpaceDN/>
        <w:bidi w:val="0"/>
        <w:adjustRightInd w:val="0"/>
        <w:snapToGrid w:val="0"/>
        <w:spacing w:line="600" w:lineRule="exact"/>
        <w:jc w:val="center"/>
        <w:outlineLvl w:val="0"/>
        <w:rPr>
          <w:rFonts w:hint="eastAsia" w:ascii="方正楷体_GBK" w:hAnsi="方正楷体_GBK" w:eastAsia="方正楷体_GBK" w:cs="方正楷体_GBK"/>
          <w:b/>
          <w:bCs/>
          <w:spacing w:val="-20"/>
          <w:sz w:val="32"/>
          <w:szCs w:val="32"/>
        </w:rPr>
      </w:pPr>
      <w:bookmarkStart w:id="0" w:name="_Toc16269"/>
      <w:r>
        <w:rPr>
          <w:rFonts w:hint="eastAsia" w:ascii="方正黑体_GBK" w:hAnsi="方正黑体_GBK" w:eastAsia="方正黑体_GBK" w:cs="方正黑体_GBK"/>
          <w:b w:val="0"/>
          <w:bCs w:val="0"/>
          <w:spacing w:val="-20"/>
          <w:sz w:val="32"/>
          <w:szCs w:val="32"/>
        </w:rPr>
        <w:t>第一章  规划的基础和环境</w:t>
      </w:r>
      <w:bookmarkEnd w:id="0"/>
    </w:p>
    <w:p>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val="0"/>
          <w:bCs w:val="0"/>
          <w:spacing w:val="-20"/>
          <w:sz w:val="32"/>
          <w:szCs w:val="32"/>
          <w:lang w:eastAsia="zh-CN"/>
        </w:rPr>
      </w:pPr>
    </w:p>
    <w:p>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rPr>
      </w:pPr>
      <w:bookmarkStart w:id="1" w:name="_Toc14015"/>
      <w:r>
        <w:rPr>
          <w:rFonts w:hint="eastAsia" w:ascii="方正楷体_GBK" w:hAnsi="方正楷体_GBK" w:eastAsia="方正楷体_GBK" w:cs="方正楷体_GBK"/>
          <w:b/>
          <w:bCs/>
          <w:spacing w:val="-20"/>
          <w:sz w:val="32"/>
          <w:szCs w:val="32"/>
          <w:lang w:eastAsia="zh-CN"/>
        </w:rPr>
        <w:t>一</w:t>
      </w:r>
      <w:r>
        <w:rPr>
          <w:rFonts w:hint="eastAsia" w:ascii="方正楷体_GBK" w:hAnsi="方正楷体_GBK" w:eastAsia="方正楷体_GBK" w:cs="方正楷体_GBK"/>
          <w:b/>
          <w:bCs/>
          <w:spacing w:val="-20"/>
          <w:sz w:val="32"/>
          <w:szCs w:val="32"/>
          <w:lang w:val="en-US" w:eastAsia="zh-CN"/>
        </w:rPr>
        <w:t xml:space="preserve"> 、</w:t>
      </w:r>
      <w:r>
        <w:rPr>
          <w:rFonts w:hint="eastAsia" w:ascii="方正楷体_GBK" w:hAnsi="方正楷体_GBK" w:eastAsia="方正楷体_GBK" w:cs="方正楷体_GBK"/>
          <w:b/>
          <w:bCs/>
          <w:spacing w:val="-20"/>
          <w:sz w:val="32"/>
          <w:szCs w:val="32"/>
        </w:rPr>
        <w:t>“十三五”期间建设成果</w:t>
      </w:r>
      <w:bookmarkEnd w:id="1"/>
    </w:p>
    <w:p>
      <w:pPr>
        <w:pStyle w:val="2"/>
      </w:pP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十三五”期间，全市消防救援事业在习近平总书记训词精神的统领下，在市委、市政府的正确领导和社会各界的大力支持下，不断健全“党政同责、一岗双责、失职追责、齐抓共管”的消防安全责任体系，大力推进消防治理体系和治理能力现代化建设，圆满完成各项重大消防安保任务，群众安全感和满意度不断提升，</w:t>
      </w:r>
      <w:r>
        <w:rPr>
          <w:rFonts w:hint="default" w:ascii="方正仿宋_GBK" w:hAnsi="方正仿宋_GBK" w:eastAsia="方正仿宋_GBK" w:cs="方正仿宋_GBK"/>
          <w:spacing w:val="-20"/>
          <w:sz w:val="32"/>
          <w:szCs w:val="32"/>
          <w:lang w:val="en-US" w:eastAsia="zh-CN"/>
        </w:rPr>
        <w:t>连续26年未发生较大及以上火灾事故</w:t>
      </w:r>
      <w:r>
        <w:rPr>
          <w:rFonts w:hint="eastAsia" w:ascii="方正仿宋_GBK" w:hAnsi="方正仿宋_GBK" w:cs="方正仿宋_GBK"/>
          <w:spacing w:val="-20"/>
          <w:sz w:val="32"/>
          <w:szCs w:val="32"/>
          <w:lang w:val="en-US" w:eastAsia="zh-CN"/>
        </w:rPr>
        <w:t>，</w:t>
      </w:r>
      <w:r>
        <w:rPr>
          <w:rFonts w:hint="eastAsia" w:ascii="方正仿宋_GBK" w:hAnsi="方正仿宋_GBK" w:eastAsia="方正仿宋_GBK" w:cs="方正仿宋_GBK"/>
          <w:spacing w:val="-20"/>
          <w:sz w:val="32"/>
          <w:szCs w:val="32"/>
          <w:lang w:val="en-US" w:eastAsia="zh-CN"/>
        </w:rPr>
        <w:t>为加快建设生态化田园城市创造了良好的消防安全环境，较好地实现了“十三五”规划目标。</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pPr>
      <w:r>
        <w:rPr>
          <w:rFonts w:hint="eastAsia" w:ascii="方正楷体_GBK" w:hAnsi="方正楷体_GBK" w:eastAsia="方正楷体_GBK" w:cs="方正楷体_GBK"/>
          <w:b/>
          <w:bCs/>
          <w:spacing w:val="-20"/>
          <w:sz w:val="32"/>
          <w:szCs w:val="32"/>
          <w:lang w:val="en-US" w:eastAsia="zh-CN"/>
        </w:rPr>
        <w:t>—</w:t>
      </w:r>
      <w:r>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t>—消防安全责任落实取得新成效。市人大开展《消防法》执法检查，推动政府、部门落实责任，不断优化公共消防安全顶层设计。市人民政府制定出台《巴彦淖尔市安全生产和消防工作考核办法》《关于进一步加强消防工作有关事宜的通知》等规范性文件，实体化运作防火安全委员会、重点行业消防联席会议、多警联勤、警消联勤等消防工作机制平台，政府各部门、行业系统和公安机关各警种间信息共享、隐患抄告、联合执法更加顺畅紧密。</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t>——社会消防环境有了新改善。扎实推进夏季消防检查、冬春火灾防控等系列专项整治行动，协同治理群租房、“多合一”场所、“九小”场所、临街商铺、城中村等顽症痼疾，重点排查督改人员密集场所、易燃易爆危险品场所、高层建筑火灾隐患。“十三五”期间，全市各级消防救援机构共检查社会单位6.07万家，发现火灾隐患9.8万处，罚款 1675.95万元，责令停产停业481家，临时查封468家，拘留45人，整改了一大批火灾隐患，确保了火灾形势的持续稳定。</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t xml:space="preserve">——全民消防意识得到新提高。扎实推进消防宣传教育“五进”活动，切实将消防安全纳入基础教育、职业培训和干部培训体系，组织7000余名基层消防安全网格管理人员和6万余名社会群众参加消防安全专业培训。做实做强“96119”火灾隐患举报投诉热线平台，持续扩大微博、微信覆盖面和影响力，有效利用新兴媒体平台，有力促进公众消防安全素质提升。 </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t>——综合保障能力取得新突破。全市各级</w:t>
      </w:r>
      <w:r>
        <w:rPr>
          <w:rFonts w:hint="eastAsia" w:ascii="方正仿宋_GBK" w:hAnsi="方正仿宋_GBK" w:eastAsia="方正仿宋_GBK" w:cs="方正仿宋_GBK"/>
          <w:color w:val="auto"/>
          <w:spacing w:val="-20"/>
          <w:sz w:val="32"/>
          <w:szCs w:val="32"/>
          <w:lang w:val="en-US" w:eastAsia="zh-CN"/>
        </w:rPr>
        <w:t>政府投入消防经费总量达1.7亿元，年平均增幅达5.9%，经费总量是“十二五”期间的1.4倍。</w:t>
      </w:r>
      <w:r>
        <w:rPr>
          <w:rFonts w:hint="eastAsia" w:ascii="方正仿宋_GBK" w:hAnsi="方正仿宋_GBK" w:eastAsia="方正仿宋_GBK" w:cs="方正仿宋_GBK"/>
          <w:spacing w:val="-20"/>
          <w:sz w:val="32"/>
          <w:szCs w:val="32"/>
          <w:lang w:val="en-US" w:eastAsia="zh-CN"/>
        </w:rPr>
        <w:t>全市进一步加大消防站和综合训练场馆建设力度，消防站总数达到9个，建成农村消防站31座，“十三五”期间规划任务完成率达到82.9%。新建消火栓791个，消防水鹤123座，采购举高、抢险、防化、供水等消防车辆26台，农村消防站小型消防车10辆，各类器材装备2.27万件（套）。</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t>——实战打赢水平实现新提升。依照灾害特点划分五大战区，定期组织供水、电力、燃气、应急管理、市场监督、环保等部门和各专业处置力量，开展燃气管道、道路交通、人员密集、危险化学品、大跨度大空间仓储等不同类型、不同规模的应急联勤处置演练。组建道路交通、地震、水域、石油化工4类攻坚专业队。“十三五”期间，全市消防救援队伍共接处警7180起，抢救疏散被困人员947人，抢救财产价值4.2亿元，成功处置“1</w:t>
      </w:r>
      <w:r>
        <w:rPr>
          <w:rFonts w:hint="eastAsia" w:ascii="方正仿宋_GBK" w:hAnsi="方正仿宋_GBK" w:eastAsia="方正仿宋_GBK" w:cs="方正仿宋_GBK"/>
          <w:color w:val="auto"/>
          <w:spacing w:val="-20"/>
          <w:sz w:val="32"/>
          <w:szCs w:val="32"/>
          <w:lang w:val="en-US" w:eastAsia="zh-CN"/>
        </w:rPr>
        <w:t>2.22”磴口乌兰布和乳业火灾、“2.26”乌拉特中旗毅腾煤业火灾</w:t>
      </w:r>
      <w:r>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t>、“7.23”乌拉特前旗洪水等各类灾害事故。</w:t>
      </w:r>
    </w:p>
    <w:p>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line="600" w:lineRule="exact"/>
        <w:jc w:val="center"/>
        <w:outlineLvl w:val="1"/>
        <w:rPr>
          <w:rFonts w:hint="eastAsia"/>
        </w:rPr>
      </w:pPr>
      <w:bookmarkStart w:id="2" w:name="_Toc29591"/>
      <w:r>
        <w:rPr>
          <w:rFonts w:hint="eastAsia" w:ascii="方正楷体_GBK" w:hAnsi="方正楷体_GBK" w:eastAsia="方正楷体_GBK" w:cs="方正楷体_GBK"/>
          <w:b/>
          <w:bCs/>
          <w:spacing w:val="-20"/>
          <w:sz w:val="32"/>
          <w:szCs w:val="32"/>
          <w:lang w:eastAsia="zh-CN"/>
        </w:rPr>
        <w:t>二、</w:t>
      </w:r>
      <w:r>
        <w:rPr>
          <w:rFonts w:hint="eastAsia" w:ascii="方正楷体_GBK" w:hAnsi="方正楷体_GBK" w:eastAsia="方正楷体_GBK" w:cs="方正楷体_GBK"/>
          <w:b/>
          <w:bCs/>
          <w:spacing w:val="-20"/>
          <w:sz w:val="32"/>
          <w:szCs w:val="32"/>
        </w:rPr>
        <w:t>规划的环境</w:t>
      </w:r>
      <w:bookmarkEnd w:id="2"/>
    </w:p>
    <w:p>
      <w:pPr>
        <w:keepNext w:val="0"/>
        <w:keepLines w:val="0"/>
        <w:pageBreakBefore w:val="0"/>
        <w:kinsoku/>
        <w:wordWrap/>
        <w:overflowPunct/>
        <w:topLinePunct w:val="0"/>
        <w:autoSpaceDE/>
        <w:autoSpaceDN/>
        <w:bidi w:val="0"/>
        <w:adjustRightInd w:val="0"/>
        <w:snapToGrid w:val="0"/>
        <w:spacing w:line="600" w:lineRule="exact"/>
        <w:ind w:firstLine="560" w:firstLineChars="200"/>
        <w:jc w:val="left"/>
        <w:outlineLvl w:val="2"/>
        <w:rPr>
          <w:rFonts w:hint="eastAsia" w:ascii="方正仿宋_GBK" w:hAnsi="方正仿宋_GBK" w:eastAsia="方正仿宋_GBK" w:cs="方正仿宋_GBK"/>
          <w:b/>
          <w:bCs/>
          <w:spacing w:val="-20"/>
          <w:sz w:val="32"/>
          <w:szCs w:val="32"/>
          <w:lang w:eastAsia="zh-CN"/>
        </w:rPr>
      </w:pPr>
    </w:p>
    <w:p>
      <w:pPr>
        <w:keepNext w:val="0"/>
        <w:keepLines w:val="0"/>
        <w:pageBreakBefore w:val="0"/>
        <w:kinsoku/>
        <w:wordWrap/>
        <w:overflowPunct/>
        <w:topLinePunct w:val="0"/>
        <w:autoSpaceDE/>
        <w:autoSpaceDN/>
        <w:bidi w:val="0"/>
        <w:adjustRightInd w:val="0"/>
        <w:snapToGrid w:val="0"/>
        <w:spacing w:line="600" w:lineRule="exact"/>
        <w:ind w:firstLine="560" w:firstLineChars="200"/>
        <w:jc w:val="left"/>
        <w:outlineLvl w:val="2"/>
        <w:rPr>
          <w:rFonts w:hint="eastAsia" w:ascii="方正仿宋_GBK" w:hAnsi="方正仿宋_GBK" w:eastAsia="方正仿宋_GBK" w:cs="方正仿宋_GBK"/>
          <w:b/>
          <w:bCs/>
          <w:spacing w:val="-20"/>
          <w:sz w:val="32"/>
          <w:szCs w:val="32"/>
        </w:rPr>
      </w:pPr>
      <w:bookmarkStart w:id="3" w:name="_Toc23547"/>
      <w:r>
        <w:rPr>
          <w:rFonts w:hint="eastAsia" w:ascii="方正仿宋_GBK" w:hAnsi="方正仿宋_GBK" w:eastAsia="方正仿宋_GBK" w:cs="方正仿宋_GBK"/>
          <w:b/>
          <w:bCs/>
          <w:spacing w:val="-20"/>
          <w:sz w:val="32"/>
          <w:szCs w:val="32"/>
          <w:lang w:eastAsia="zh-CN"/>
        </w:rPr>
        <w:t>（一）</w:t>
      </w:r>
      <w:r>
        <w:rPr>
          <w:rFonts w:hint="eastAsia" w:ascii="方正仿宋_GBK" w:hAnsi="方正仿宋_GBK" w:eastAsia="方正仿宋_GBK" w:cs="方正仿宋_GBK"/>
          <w:b/>
          <w:bCs/>
          <w:spacing w:val="-20"/>
          <w:sz w:val="32"/>
          <w:szCs w:val="32"/>
        </w:rPr>
        <w:t>面临的机遇</w:t>
      </w:r>
      <w:bookmarkEnd w:id="3"/>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2018年3月13日，第十三届全国人民代表大会第一次会议审议通过国务院机</w:t>
      </w:r>
      <w:r>
        <w:rPr>
          <w:rFonts w:hint="eastAsia" w:ascii="方正仿宋_GBK" w:hAnsi="方正仿宋_GBK" w:eastAsia="方正仿宋_GBK" w:cs="方正仿宋_GBK"/>
          <w:color w:val="auto"/>
          <w:spacing w:val="-20"/>
          <w:sz w:val="32"/>
          <w:szCs w:val="32"/>
          <w:lang w:val="en-US" w:eastAsia="zh-CN"/>
        </w:rPr>
        <w:t>构改革方案，</w:t>
      </w:r>
      <w:r>
        <w:rPr>
          <w:rFonts w:hint="eastAsia" w:ascii="方正仿宋_GBK" w:hAnsi="方正仿宋_GBK" w:eastAsia="方正仿宋_GBK" w:cs="方正仿宋_GBK"/>
          <w:spacing w:val="-20"/>
          <w:sz w:val="32"/>
          <w:szCs w:val="32"/>
          <w:lang w:val="en-US" w:eastAsia="zh-CN"/>
        </w:rPr>
        <w:t>组建中华人民共和国应急管理部。2018年11月9日，中共中央总书记、国家主席、中央军委主席习近平在人民大会堂向国家综合性消防救援队伍授旗致训词。组建国家综合性消防救援队伍，是党中央提升国家治理能力现代化作出的战略决策，也是构建新时代国家应急救援体系的重要举措，更是我市消防救援事</w:t>
      </w:r>
      <w:r>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t>业加速发展</w:t>
      </w:r>
      <w:r>
        <w:rPr>
          <w:rFonts w:hint="eastAsia" w:ascii="方正仿宋_GBK" w:hAnsi="方正仿宋_GBK" w:eastAsia="方正仿宋_GBK" w:cs="方正仿宋_GBK"/>
          <w:spacing w:val="-20"/>
          <w:sz w:val="32"/>
          <w:szCs w:val="32"/>
          <w:lang w:val="en-US" w:eastAsia="zh-CN"/>
        </w:rPr>
        <w:t>的有利契机。</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bookmarkStart w:id="4" w:name="_Toc44430365"/>
      <w:bookmarkStart w:id="5" w:name="_Toc54617957"/>
      <w:r>
        <w:rPr>
          <w:rFonts w:hint="eastAsia" w:ascii="方正仿宋_GBK" w:hAnsi="方正仿宋_GBK" w:eastAsia="方正仿宋_GBK" w:cs="方正仿宋_GBK"/>
          <w:spacing w:val="-20"/>
          <w:sz w:val="32"/>
          <w:szCs w:val="32"/>
          <w:lang w:val="en-US" w:eastAsia="zh-CN"/>
        </w:rPr>
        <w:t>——消防救援事业步入快速发展</w:t>
      </w:r>
      <w:bookmarkEnd w:id="4"/>
      <w:bookmarkEnd w:id="5"/>
      <w:r>
        <w:rPr>
          <w:rFonts w:hint="eastAsia" w:ascii="方正仿宋_GBK" w:hAnsi="方正仿宋_GBK" w:eastAsia="方正仿宋_GBK" w:cs="方正仿宋_GBK"/>
          <w:spacing w:val="-20"/>
          <w:sz w:val="32"/>
          <w:szCs w:val="32"/>
          <w:lang w:val="en-US" w:eastAsia="zh-CN"/>
        </w:rPr>
        <w:t>轨道。消防救援事业内容纳入巴彦淖尔市“十四五”发展规划、国土空间规划、全区乡村振兴战略规划，实现消防救援事业发展与国民经济发展相适应，消防专项工作与其他重点专项工作相协调，应急救援体系构建、消防基础设施建设、信息化水平提升等内容与相关支柱产业、跨地区重大基础设施项目相衔接，同步部署、同步研究、同步编制，形成一本规划、一张蓝图。</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bookmarkStart w:id="6" w:name="_Toc54617955"/>
      <w:bookmarkStart w:id="7" w:name="_Toc44430362"/>
      <w:r>
        <w:rPr>
          <w:rFonts w:hint="eastAsia" w:ascii="方正楷体_GBK" w:hAnsi="方正楷体_GBK" w:eastAsia="方正楷体_GBK" w:cs="方正楷体_GBK"/>
          <w:b/>
          <w:bCs/>
          <w:spacing w:val="-20"/>
          <w:sz w:val="32"/>
          <w:szCs w:val="32"/>
          <w:lang w:val="en-US" w:eastAsia="zh-CN"/>
        </w:rPr>
        <w:t>—</w:t>
      </w:r>
      <w:r>
        <w:rPr>
          <w:rFonts w:hint="eastAsia" w:ascii="方正仿宋_GBK" w:hAnsi="方正仿宋_GBK" w:eastAsia="方正仿宋_GBK" w:cs="方正仿宋_GBK"/>
          <w:spacing w:val="-20"/>
          <w:sz w:val="32"/>
          <w:szCs w:val="32"/>
          <w:lang w:val="en-US" w:eastAsia="zh-CN"/>
        </w:rPr>
        <w:t>—消防救援职能广泛拓展</w:t>
      </w:r>
      <w:bookmarkEnd w:id="6"/>
      <w:bookmarkEnd w:id="7"/>
      <w:r>
        <w:rPr>
          <w:rFonts w:hint="eastAsia" w:ascii="方正仿宋_GBK" w:hAnsi="方正仿宋_GBK" w:eastAsia="方正仿宋_GBK" w:cs="方正仿宋_GBK"/>
          <w:spacing w:val="-20"/>
          <w:sz w:val="32"/>
          <w:szCs w:val="32"/>
          <w:lang w:val="en-US" w:eastAsia="zh-CN"/>
        </w:rPr>
        <w:t>。国家综合性消防救援队伍按照习近平总书记“对党忠诚、纪律严明、赴汤蹈火、竭诚为民”的四句话总要求，严格执行纪律部队建设标准，是应急救援的主力军和国家队，承担着防范化解重大安全风险，应对处置各类灾害事故，维护人民群众生命财产安全，维护社会稳定的重要职责使命。</w:t>
      </w:r>
      <w:r>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t>着眼“全灾种、大应急”形势任务需要，着力从救援理念、职能、能力、装备、方式、机制等6个方面推动队伍转型升级，</w:t>
      </w:r>
      <w:r>
        <w:rPr>
          <w:rFonts w:hint="eastAsia" w:ascii="方正仿宋_GBK" w:hAnsi="方正仿宋_GBK" w:eastAsia="方正仿宋_GBK" w:cs="方正仿宋_GBK"/>
          <w:spacing w:val="-20"/>
          <w:sz w:val="32"/>
          <w:szCs w:val="32"/>
          <w:lang w:val="en-US" w:eastAsia="zh-CN"/>
        </w:rPr>
        <w:t>在组织指挥、联动机制、训练演练、战勤保障等方面改革创新。</w:t>
      </w:r>
    </w:p>
    <w:p>
      <w:pPr>
        <w:keepNext w:val="0"/>
        <w:keepLines w:val="0"/>
        <w:pageBreakBefore w:val="0"/>
        <w:kinsoku/>
        <w:wordWrap/>
        <w:overflowPunct/>
        <w:topLinePunct w:val="0"/>
        <w:autoSpaceDE/>
        <w:autoSpaceDN/>
        <w:bidi w:val="0"/>
        <w:spacing w:line="600" w:lineRule="exact"/>
        <w:ind w:firstLine="560" w:firstLineChars="200"/>
        <w:rPr>
          <w:rFonts w:hint="default" w:ascii="方正仿宋_GBK" w:hAnsi="方正仿宋_GBK" w:eastAsia="方正仿宋_GBK" w:cs="方正仿宋_GBK"/>
          <w:spacing w:val="-20"/>
          <w:sz w:val="32"/>
          <w:szCs w:val="32"/>
          <w:lang w:val="en-US" w:eastAsia="zh-CN"/>
        </w:rPr>
      </w:pPr>
      <w:bookmarkStart w:id="8" w:name="_Toc44430363"/>
      <w:bookmarkStart w:id="9" w:name="_Toc54617956"/>
      <w:bookmarkStart w:id="10" w:name="_Toc42585814"/>
      <w:bookmarkStart w:id="11" w:name="_Toc37067990"/>
      <w:bookmarkStart w:id="12" w:name="_Toc42585888"/>
      <w:r>
        <w:rPr>
          <w:rFonts w:hint="eastAsia" w:ascii="方正仿宋_GBK" w:hAnsi="方正仿宋_GBK" w:eastAsia="方正仿宋_GBK" w:cs="方正仿宋_GBK"/>
          <w:spacing w:val="-20"/>
          <w:sz w:val="32"/>
          <w:szCs w:val="32"/>
          <w:lang w:val="en-US" w:eastAsia="zh-CN"/>
        </w:rPr>
        <w:t>——消防执法监督改革不断深</w:t>
      </w:r>
      <w:bookmarkEnd w:id="8"/>
      <w:r>
        <w:rPr>
          <w:rFonts w:hint="eastAsia" w:ascii="方正仿宋_GBK" w:hAnsi="方正仿宋_GBK" w:eastAsia="方正仿宋_GBK" w:cs="方正仿宋_GBK"/>
          <w:spacing w:val="-20"/>
          <w:sz w:val="32"/>
          <w:szCs w:val="32"/>
          <w:lang w:val="en-US" w:eastAsia="zh-CN"/>
        </w:rPr>
        <w:t>入</w:t>
      </w:r>
      <w:bookmarkEnd w:id="9"/>
      <w:r>
        <w:rPr>
          <w:rFonts w:hint="eastAsia" w:ascii="方正仿宋_GBK" w:hAnsi="方正仿宋_GBK" w:eastAsia="方正仿宋_GBK" w:cs="方正仿宋_GBK"/>
          <w:spacing w:val="-20"/>
          <w:sz w:val="32"/>
          <w:szCs w:val="32"/>
          <w:lang w:val="en-US" w:eastAsia="zh-CN"/>
        </w:rPr>
        <w:t xml:space="preserve">。按照党中央、国务院消防执法改革决策部署，推动消防执法理念、制度、作风全方位深层次变革。简政放权，取消和精简3项消防审批；加强和规范事中事后监管，落实“双随机、一公开”监管机制和火灾多发频发行业领域重点监管，将消防违法违规行为记入信用记录实施联合惩戒，强化火灾事故倒查追责；实施消防执法全过程记录、法制审核、执法公示制度，严格限制处罚自由裁量权；优化营商环境，推行预约办理，多渠道多途径提高办事效率和服务水平。 </w:t>
      </w:r>
    </w:p>
    <w:bookmarkEnd w:id="10"/>
    <w:bookmarkEnd w:id="11"/>
    <w:bookmarkEnd w:id="12"/>
    <w:p>
      <w:pPr>
        <w:keepNext w:val="0"/>
        <w:keepLines w:val="0"/>
        <w:pageBreakBefore w:val="0"/>
        <w:kinsoku/>
        <w:wordWrap/>
        <w:overflowPunct/>
        <w:topLinePunct w:val="0"/>
        <w:autoSpaceDE/>
        <w:autoSpaceDN/>
        <w:bidi w:val="0"/>
        <w:adjustRightInd w:val="0"/>
        <w:snapToGrid w:val="0"/>
        <w:spacing w:line="600" w:lineRule="exact"/>
        <w:ind w:firstLine="560" w:firstLineChars="200"/>
        <w:jc w:val="left"/>
        <w:outlineLvl w:val="2"/>
        <w:rPr>
          <w:rFonts w:hint="eastAsia" w:ascii="方正仿宋_GBK" w:hAnsi="方正仿宋_GBK" w:eastAsia="方正仿宋_GBK" w:cs="方正仿宋_GBK"/>
          <w:b/>
          <w:bCs/>
          <w:spacing w:val="-20"/>
          <w:sz w:val="32"/>
          <w:szCs w:val="32"/>
        </w:rPr>
      </w:pPr>
      <w:bookmarkStart w:id="13" w:name="_Toc29561"/>
      <w:r>
        <w:rPr>
          <w:rFonts w:hint="eastAsia" w:ascii="方正仿宋_GBK" w:hAnsi="方正仿宋_GBK" w:eastAsia="方正仿宋_GBK" w:cs="方正仿宋_GBK"/>
          <w:b/>
          <w:bCs/>
          <w:spacing w:val="-20"/>
          <w:sz w:val="32"/>
          <w:szCs w:val="32"/>
          <w:lang w:eastAsia="zh-CN"/>
        </w:rPr>
        <w:t>（二）</w:t>
      </w:r>
      <w:r>
        <w:rPr>
          <w:rFonts w:hint="eastAsia" w:ascii="方正仿宋_GBK" w:hAnsi="方正仿宋_GBK" w:eastAsia="方正仿宋_GBK" w:cs="方正仿宋_GBK"/>
          <w:b/>
          <w:bCs/>
          <w:spacing w:val="-20"/>
          <w:sz w:val="32"/>
          <w:szCs w:val="32"/>
        </w:rPr>
        <w:t>面临的挑战</w:t>
      </w:r>
      <w:bookmarkEnd w:id="13"/>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城乡火灾形势依然严峻。“十三五”期间全市农村火灾仍占较大比重，但城市火灾略有上升趋势。企业火灾降幅明显，但个体私营企业火灾占较大比重，发生火灾的个体经营户和私营企业大多为小作坊、小饭店、小门面和家庭式工厂，其中尤以“三合一”、“多合一”场所居多。家庭亡人火灾不容忽视，近几年我市亡人火灾，多发生在村民、居民住宅，且死亡人员多为老幼病残等弱势群体。</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消防安全风险不断积聚。随着经济社会的发展，城市规模日益扩大，结构日趋复杂，城市建设、城市综合体、高层地下建筑、危旧房屋、人员密集场所以及肉羊冷链产业、物流业、电子商务、风电、光伏、储能等新业态消防安全风险突出，城市安全管理难度增大。</w:t>
      </w:r>
      <w:r>
        <w:rPr>
          <w:rFonts w:hint="default" w:ascii="方正仿宋_GBK" w:hAnsi="方正仿宋_GBK" w:eastAsia="方正仿宋_GBK" w:cs="方正仿宋_GBK"/>
          <w:spacing w:val="-20"/>
          <w:sz w:val="32"/>
          <w:szCs w:val="32"/>
          <w:lang w:val="en-US" w:eastAsia="zh-CN"/>
        </w:rPr>
        <w:t>老建筑、老生产工艺及其设备逐步进入风险临界点，</w:t>
      </w:r>
      <w:r>
        <w:rPr>
          <w:rFonts w:hint="eastAsia" w:ascii="方正仿宋_GBK" w:hAnsi="方正仿宋_GBK" w:eastAsia="方正仿宋_GBK" w:cs="方正仿宋_GBK"/>
          <w:spacing w:val="-20"/>
          <w:sz w:val="32"/>
          <w:szCs w:val="32"/>
          <w:lang w:val="en-US" w:eastAsia="zh-CN"/>
        </w:rPr>
        <w:t>新技术、新产品、新材料广泛应用，各种传统与非传统、确定与不确定的因素相互交织，火灾发生几率和防控难度急剧增大，给消防安全管理工作带来新的挑战。</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消防责任落实存在缺位。乡（镇）人民政府、街道办事处等基层政府组织机构，消防安全“网格化”管理不到位。行业部门在消防安全管理上存在固化思维，意识有偏差，片面认为消防安全监管是消防救援机构一家之事。行业系统中普遍缺乏消防安全“明白人”，不会培训指导单位员工，不能检查发现安全隐患，不知如何落实防范措施。部分社会单位消防安全责任主体意识不强，消防组织不健全，消防制度不落实，违法、违规、带“病”经营现象仍然存在。</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基层基础工作仍有短板。农村牧区经济快速发展，火灾风险日益增大，而乡镇、苏木对农村牧区消防工作重视程度普遍不够、部署落实不到位、预防火灾措施乏力，未将消防事业经费纳入预算，派出所消防监管职能明显弱化，基层消防监管力量不足，农村等末端环节出现盲点或空转。城乡消防发展极不平衡，全市90%以上乡镇、农村没有消防基础设施。专兼职消防队伍建设相对滞后，全市虽建有31个农村消防站，但经费得不到保障、车辆老旧、装备不足、人员缺乏，严重影响战斗力。群众消防安全意识淡薄、消防安全知识匮乏、自防自救能力差。</w:t>
      </w:r>
    </w:p>
    <w:p>
      <w:pPr>
        <w:keepNext w:val="0"/>
        <w:keepLines w:val="0"/>
        <w:pageBreakBefore w:val="0"/>
        <w:kinsoku/>
        <w:wordWrap/>
        <w:overflowPunct/>
        <w:topLinePunct w:val="0"/>
        <w:autoSpaceDE/>
        <w:autoSpaceDN/>
        <w:bidi w:val="0"/>
        <w:spacing w:line="600" w:lineRule="exact"/>
        <w:ind w:firstLine="560" w:firstLineChars="200"/>
        <w:rPr>
          <w:rFonts w:hint="eastAsia" w:ascii="方正黑体_GBK" w:hAnsi="方正黑体_GBK" w:eastAsia="方正黑体_GBK" w:cs="方正黑体_GBK"/>
          <w:b/>
          <w:bCs/>
          <w:spacing w:val="-20"/>
          <w:sz w:val="32"/>
          <w:szCs w:val="32"/>
        </w:rPr>
      </w:pPr>
      <w:r>
        <w:rPr>
          <w:rFonts w:hint="eastAsia" w:ascii="方正仿宋_GBK" w:hAnsi="方正仿宋_GBK" w:eastAsia="方正仿宋_GBK" w:cs="方正仿宋_GBK"/>
          <w:spacing w:val="-20"/>
          <w:sz w:val="32"/>
          <w:szCs w:val="32"/>
          <w:lang w:val="en-US" w:eastAsia="zh-CN"/>
        </w:rPr>
        <w:t>——救援资源配置矛盾凸显。改革转隶后，消防救援队伍承担着全灾种、大应急的职能，是主力军、国家队，尤其在城市化进程不断加快的大环境下，各种生产、生活领域的突发性火灾救援难度往往非常大，各类高层建筑、油气储罐火灾，道路交通事故、自然灾害事故多样化，输入性灾害不断，消防救援队伍必须要从理念、职能、能力、装备等各个方面推进队伍转型升级，满足经济社会安全发展所需。我市现有消防队站数量不足，缺少高精尖装备器材，亟需破解消防救援资源配置失衡的问题。</w:t>
      </w:r>
    </w:p>
    <w:p>
      <w:pPr>
        <w:keepNext w:val="0"/>
        <w:keepLines w:val="0"/>
        <w:pageBreakBefore w:val="0"/>
        <w:kinsoku/>
        <w:wordWrap/>
        <w:overflowPunct/>
        <w:topLinePunct w:val="0"/>
        <w:autoSpaceDE/>
        <w:autoSpaceDN/>
        <w:bidi w:val="0"/>
        <w:adjustRightInd w:val="0"/>
        <w:snapToGrid w:val="0"/>
        <w:spacing w:line="600" w:lineRule="exact"/>
        <w:jc w:val="center"/>
        <w:outlineLvl w:val="0"/>
        <w:rPr>
          <w:rFonts w:hint="eastAsia" w:ascii="方正黑体_GBK" w:hAnsi="方正黑体_GBK" w:eastAsia="方正黑体_GBK" w:cs="方正黑体_GBK"/>
          <w:b/>
          <w:bCs/>
          <w:spacing w:val="-20"/>
          <w:sz w:val="32"/>
          <w:szCs w:val="32"/>
        </w:rPr>
      </w:pPr>
    </w:p>
    <w:p>
      <w:pPr>
        <w:keepNext w:val="0"/>
        <w:keepLines w:val="0"/>
        <w:pageBreakBefore w:val="0"/>
        <w:kinsoku/>
        <w:wordWrap/>
        <w:overflowPunct/>
        <w:topLinePunct w:val="0"/>
        <w:autoSpaceDE/>
        <w:autoSpaceDN/>
        <w:bidi w:val="0"/>
        <w:adjustRightInd w:val="0"/>
        <w:snapToGrid w:val="0"/>
        <w:spacing w:line="600" w:lineRule="exact"/>
        <w:jc w:val="center"/>
        <w:outlineLvl w:val="0"/>
        <w:rPr>
          <w:rFonts w:ascii="方正黑体_GBK" w:hAnsi="方正黑体_GBK" w:eastAsia="方正黑体_GBK" w:cs="方正黑体_GBK"/>
          <w:b w:val="0"/>
          <w:bCs w:val="0"/>
          <w:spacing w:val="-20"/>
          <w:sz w:val="32"/>
          <w:szCs w:val="32"/>
        </w:rPr>
      </w:pPr>
      <w:bookmarkStart w:id="14" w:name="_Toc29359"/>
      <w:r>
        <w:rPr>
          <w:rFonts w:hint="eastAsia" w:ascii="方正黑体_GBK" w:hAnsi="方正黑体_GBK" w:eastAsia="方正黑体_GBK" w:cs="方正黑体_GBK"/>
          <w:b w:val="0"/>
          <w:bCs w:val="0"/>
          <w:spacing w:val="-20"/>
          <w:sz w:val="32"/>
          <w:szCs w:val="32"/>
        </w:rPr>
        <w:t>第二章  指导思想、基本原则和建设目标</w:t>
      </w:r>
      <w:bookmarkEnd w:id="14"/>
    </w:p>
    <w:p>
      <w:pPr>
        <w:keepNext w:val="0"/>
        <w:keepLines w:val="0"/>
        <w:pageBreakBefore w:val="0"/>
        <w:kinsoku/>
        <w:wordWrap/>
        <w:overflowPunct/>
        <w:topLinePunct w:val="0"/>
        <w:autoSpaceDE/>
        <w:autoSpaceDN/>
        <w:bidi w:val="0"/>
        <w:adjustRightInd w:val="0"/>
        <w:snapToGrid w:val="0"/>
        <w:spacing w:line="600" w:lineRule="exact"/>
        <w:jc w:val="center"/>
        <w:rPr>
          <w:rFonts w:hint="eastAsia" w:ascii="方正楷体_GBK" w:hAnsi="方正楷体_GBK" w:eastAsia="方正楷体_GBK" w:cs="方正楷体_GBK"/>
          <w:b/>
          <w:bCs/>
          <w:spacing w:val="-20"/>
          <w:sz w:val="32"/>
          <w:szCs w:val="32"/>
        </w:rPr>
      </w:pPr>
    </w:p>
    <w:p>
      <w:pPr>
        <w:keepNext w:val="0"/>
        <w:keepLines w:val="0"/>
        <w:pageBreakBefore w:val="0"/>
        <w:kinsoku/>
        <w:wordWrap/>
        <w:overflowPunct/>
        <w:topLinePunct w:val="0"/>
        <w:autoSpaceDE/>
        <w:autoSpaceDN/>
        <w:bidi w:val="0"/>
        <w:adjustRightInd w:val="0"/>
        <w:snapToGrid w:val="0"/>
        <w:spacing w:line="600" w:lineRule="exact"/>
        <w:jc w:val="center"/>
        <w:outlineLvl w:val="1"/>
        <w:rPr>
          <w:rFonts w:ascii="方正楷体_GBK" w:hAnsi="方正楷体_GBK" w:eastAsia="方正楷体_GBK" w:cs="方正楷体_GBK"/>
          <w:b w:val="0"/>
          <w:bCs w:val="0"/>
          <w:spacing w:val="-20"/>
          <w:sz w:val="32"/>
          <w:szCs w:val="32"/>
        </w:rPr>
      </w:pPr>
      <w:r>
        <w:rPr>
          <w:rFonts w:hint="eastAsia" w:ascii="方正楷体_GBK" w:hAnsi="方正楷体_GBK" w:eastAsia="方正楷体_GBK" w:cs="方正楷体_GBK"/>
          <w:b/>
          <w:bCs/>
          <w:spacing w:val="-20"/>
          <w:sz w:val="32"/>
          <w:szCs w:val="32"/>
          <w:lang w:val="en-US" w:eastAsia="zh-CN"/>
        </w:rPr>
        <w:t xml:space="preserve"> </w:t>
      </w:r>
      <w:bookmarkStart w:id="15" w:name="_Toc15592"/>
      <w:r>
        <w:rPr>
          <w:rFonts w:hint="eastAsia" w:ascii="方正楷体_GBK" w:hAnsi="方正楷体_GBK" w:eastAsia="方正楷体_GBK" w:cs="方正楷体_GBK"/>
          <w:b/>
          <w:bCs/>
          <w:spacing w:val="-20"/>
          <w:sz w:val="32"/>
          <w:szCs w:val="32"/>
        </w:rPr>
        <w:t>一</w:t>
      </w:r>
      <w:r>
        <w:rPr>
          <w:rFonts w:hint="eastAsia" w:ascii="方正楷体_GBK" w:hAnsi="方正楷体_GBK" w:eastAsia="方正楷体_GBK" w:cs="方正楷体_GBK"/>
          <w:b/>
          <w:bCs/>
          <w:spacing w:val="-20"/>
          <w:sz w:val="32"/>
          <w:szCs w:val="32"/>
          <w:lang w:val="en-US" w:eastAsia="zh-CN"/>
        </w:rPr>
        <w:t xml:space="preserve"> 、</w:t>
      </w:r>
      <w:r>
        <w:rPr>
          <w:rFonts w:hint="eastAsia" w:ascii="方正楷体_GBK" w:hAnsi="方正楷体_GBK" w:eastAsia="方正楷体_GBK" w:cs="方正楷体_GBK"/>
          <w:b/>
          <w:bCs/>
          <w:spacing w:val="-20"/>
          <w:sz w:val="32"/>
          <w:szCs w:val="32"/>
        </w:rPr>
        <w:t>指导思想</w:t>
      </w:r>
      <w:bookmarkEnd w:id="15"/>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“十四五”消防救援事业规划，以习近平新时代中国特色社会主义思想</w:t>
      </w:r>
      <w:bookmarkStart w:id="81" w:name="_GoBack"/>
      <w:bookmarkEnd w:id="81"/>
      <w:r>
        <w:rPr>
          <w:rFonts w:hint="eastAsia" w:ascii="方正仿宋_GBK" w:hAnsi="方正仿宋_GBK" w:eastAsia="方正仿宋_GBK" w:cs="方正仿宋_GBK"/>
          <w:spacing w:val="-20"/>
          <w:sz w:val="32"/>
          <w:szCs w:val="32"/>
          <w:lang w:val="en-US" w:eastAsia="zh-CN"/>
        </w:rPr>
        <w:t>为指导，全面贯彻党的十九大和十九届二中、三中、四中、五中、六中全会精神，深入贯彻习近平总书记重要训词精神，立足消防救援队伍发展的历史方位，坚持改革正确方向，积极推进我市消防救援事业高质量发展，不断提高我市消防治理体系和治理能力现代化，为城市经济发展、社会稳定和人民群众安居乐业提供强有力的消防安全保障。</w:t>
      </w:r>
    </w:p>
    <w:p>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rPr>
      </w:pPr>
      <w:r>
        <w:rPr>
          <w:rFonts w:hint="eastAsia" w:ascii="方正楷体_GBK" w:hAnsi="方正楷体_GBK" w:eastAsia="方正楷体_GBK" w:cs="方正楷体_GBK"/>
          <w:b/>
          <w:bCs/>
          <w:spacing w:val="-20"/>
          <w:sz w:val="32"/>
          <w:szCs w:val="32"/>
          <w:lang w:val="en-US" w:eastAsia="zh-CN"/>
        </w:rPr>
        <w:t xml:space="preserve"> </w:t>
      </w:r>
      <w:bookmarkStart w:id="16" w:name="_Toc31707"/>
      <w:r>
        <w:rPr>
          <w:rFonts w:hint="eastAsia" w:ascii="方正楷体_GBK" w:hAnsi="方正楷体_GBK" w:eastAsia="方正楷体_GBK" w:cs="方正楷体_GBK"/>
          <w:b/>
          <w:bCs/>
          <w:spacing w:val="-20"/>
          <w:sz w:val="32"/>
          <w:szCs w:val="32"/>
        </w:rPr>
        <w:t>二</w:t>
      </w:r>
      <w:r>
        <w:rPr>
          <w:rFonts w:hint="eastAsia" w:ascii="方正楷体_GBK" w:hAnsi="方正楷体_GBK" w:eastAsia="方正楷体_GBK" w:cs="方正楷体_GBK"/>
          <w:b/>
          <w:bCs/>
          <w:spacing w:val="-20"/>
          <w:sz w:val="32"/>
          <w:szCs w:val="32"/>
          <w:lang w:val="en-US" w:eastAsia="zh-CN"/>
        </w:rPr>
        <w:t xml:space="preserve"> 、</w:t>
      </w:r>
      <w:r>
        <w:rPr>
          <w:rFonts w:hint="eastAsia" w:ascii="方正楷体_GBK" w:hAnsi="方正楷体_GBK" w:eastAsia="方正楷体_GBK" w:cs="方正楷体_GBK"/>
          <w:b/>
          <w:bCs/>
          <w:spacing w:val="-20"/>
          <w:sz w:val="32"/>
          <w:szCs w:val="32"/>
        </w:rPr>
        <w:t>基本原则</w:t>
      </w:r>
      <w:bookmarkEnd w:id="16"/>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——坚持融入大局、协调发展，有效统筹消防工作与经济社会发展的关系，推进城乡消防工作一体化，着力促进经济社会高质量发展；</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——坚持综合治理、标本兼治，深入构建以消防安全责任制落实为核心、多元主体共同参与的社会消防治理机制，着力净化社会面消防安全环境；</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——坚持依法治火、科技先行，以法治思维和方式推动消防救援事业发展，依靠科技进步不断提升城市火灾防控水平，着力完善消防法治化建设和技术支撑体系；</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——坚持以人为本、科学施救，全力保障人民群众生命财产安全，着力提高公民消防安全素质。</w:t>
      </w:r>
    </w:p>
    <w:p>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rPr>
      </w:pPr>
      <w:r>
        <w:rPr>
          <w:rFonts w:hint="eastAsia" w:ascii="方正楷体_GBK" w:hAnsi="方正楷体_GBK" w:eastAsia="方正楷体_GBK" w:cs="方正楷体_GBK"/>
          <w:b/>
          <w:bCs/>
          <w:spacing w:val="-20"/>
          <w:sz w:val="32"/>
          <w:szCs w:val="32"/>
          <w:lang w:val="en-US" w:eastAsia="zh-CN"/>
        </w:rPr>
        <w:t xml:space="preserve"> </w:t>
      </w:r>
      <w:bookmarkStart w:id="17" w:name="_Toc18073"/>
      <w:r>
        <w:rPr>
          <w:rFonts w:hint="eastAsia" w:ascii="方正楷体_GBK" w:hAnsi="方正楷体_GBK" w:eastAsia="方正楷体_GBK" w:cs="方正楷体_GBK"/>
          <w:b/>
          <w:bCs/>
          <w:spacing w:val="-20"/>
          <w:sz w:val="32"/>
          <w:szCs w:val="32"/>
        </w:rPr>
        <w:t>三</w:t>
      </w:r>
      <w:r>
        <w:rPr>
          <w:rFonts w:hint="eastAsia" w:ascii="方正楷体_GBK" w:hAnsi="方正楷体_GBK" w:eastAsia="方正楷体_GBK" w:cs="方正楷体_GBK"/>
          <w:b/>
          <w:bCs/>
          <w:spacing w:val="-20"/>
          <w:sz w:val="32"/>
          <w:szCs w:val="32"/>
          <w:lang w:val="en-US" w:eastAsia="zh-CN"/>
        </w:rPr>
        <w:t>、</w:t>
      </w:r>
      <w:r>
        <w:rPr>
          <w:rFonts w:hint="eastAsia" w:ascii="方正楷体_GBK" w:hAnsi="方正楷体_GBK" w:eastAsia="方正楷体_GBK" w:cs="方正楷体_GBK"/>
          <w:b/>
          <w:bCs/>
          <w:spacing w:val="-20"/>
          <w:sz w:val="32"/>
          <w:szCs w:val="32"/>
        </w:rPr>
        <w:t>建设目标</w:t>
      </w:r>
      <w:bookmarkEnd w:id="17"/>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十四五”期间，以消防责任、消防法制、重点管控、宣传教育、社会治理、综合保障、应急救援、工作考核为重点，加快构建与城市经济社会发展水平相匹配、相适应的公共安全火灾防控体系，有效遏制“小火亡人”事故，坚决杜绝重特大火灾尤其是群死群伤火灾事故发生，全力确保我市消防安全和人民群众安居乐业。</w:t>
      </w:r>
    </w:p>
    <w:p>
      <w:pPr>
        <w:pStyle w:val="2"/>
        <w:rPr>
          <w:rFonts w:hint="eastAsia"/>
          <w:lang w:val="en-US" w:eastAsia="zh-CN"/>
        </w:rPr>
      </w:pPr>
    </w:p>
    <w:tbl>
      <w:tblPr>
        <w:tblStyle w:val="12"/>
        <w:tblW w:w="918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817"/>
        <w:gridCol w:w="3604"/>
        <w:gridCol w:w="2268"/>
        <w:gridCol w:w="1417"/>
        <w:gridCol w:w="10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9180"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黑体"/>
                <w:b/>
                <w:sz w:val="30"/>
                <w:szCs w:val="30"/>
              </w:rPr>
            </w:pPr>
            <w:r>
              <w:rPr>
                <w:rStyle w:val="21"/>
                <w:rFonts w:ascii="Times New Roman" w:hAnsi="Times New Roman" w:eastAsia="黑体"/>
                <w:b/>
                <w:sz w:val="30"/>
                <w:szCs w:val="30"/>
              </w:rPr>
              <w:t>专栏1  “十四五”消防救援事业发展主要指标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序号</w:t>
            </w:r>
          </w:p>
        </w:tc>
        <w:tc>
          <w:tcPr>
            <w:tcW w:w="360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指标内容</w:t>
            </w:r>
          </w:p>
        </w:tc>
        <w:tc>
          <w:tcPr>
            <w:tcW w:w="22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2020年基准值</w:t>
            </w:r>
          </w:p>
        </w:tc>
        <w:tc>
          <w:tcPr>
            <w:tcW w:w="14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规划目标</w:t>
            </w:r>
          </w:p>
        </w:tc>
        <w:tc>
          <w:tcPr>
            <w:tcW w:w="10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属性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1</w:t>
            </w:r>
          </w:p>
        </w:tc>
        <w:tc>
          <w:tcPr>
            <w:tcW w:w="360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both"/>
              <w:rPr>
                <w:rStyle w:val="21"/>
                <w:rFonts w:ascii="Times New Roman" w:hAnsi="Times New Roman" w:eastAsia="宋体"/>
                <w:sz w:val="28"/>
                <w:szCs w:val="28"/>
              </w:rPr>
            </w:pPr>
            <w:r>
              <w:rPr>
                <w:rStyle w:val="21"/>
                <w:rFonts w:ascii="Times New Roman" w:hAnsi="Times New Roman" w:eastAsia="宋体"/>
                <w:sz w:val="28"/>
                <w:szCs w:val="28"/>
              </w:rPr>
              <w:t>百万人火灾死亡率</w:t>
            </w:r>
          </w:p>
        </w:tc>
        <w:tc>
          <w:tcPr>
            <w:tcW w:w="22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w:t>
            </w:r>
          </w:p>
        </w:tc>
        <w:tc>
          <w:tcPr>
            <w:tcW w:w="14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下降5%</w:t>
            </w:r>
          </w:p>
        </w:tc>
        <w:tc>
          <w:tcPr>
            <w:tcW w:w="10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2</w:t>
            </w:r>
          </w:p>
        </w:tc>
        <w:tc>
          <w:tcPr>
            <w:tcW w:w="360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both"/>
              <w:rPr>
                <w:rFonts w:ascii="Times New Roman" w:hAnsi="Times New Roman" w:eastAsia="宋体"/>
                <w:color w:val="auto"/>
                <w:sz w:val="28"/>
                <w:szCs w:val="28"/>
              </w:rPr>
            </w:pPr>
            <w:r>
              <w:rPr>
                <w:rStyle w:val="21"/>
                <w:rFonts w:ascii="Times New Roman" w:hAnsi="Times New Roman" w:eastAsia="宋体"/>
                <w:color w:val="auto"/>
                <w:sz w:val="28"/>
                <w:szCs w:val="28"/>
              </w:rPr>
              <w:t>专职消防人员占总人口比例</w:t>
            </w:r>
          </w:p>
        </w:tc>
        <w:tc>
          <w:tcPr>
            <w:tcW w:w="22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hint="default" w:ascii="Times New Roman" w:hAnsi="Times New Roman" w:eastAsia="宋体"/>
                <w:color w:val="auto"/>
                <w:sz w:val="28"/>
                <w:szCs w:val="28"/>
                <w:lang w:val="en-US" w:eastAsia="zh-CN"/>
              </w:rPr>
            </w:pPr>
            <w:r>
              <w:rPr>
                <w:rStyle w:val="21"/>
                <w:rFonts w:hint="eastAsia"/>
                <w:color w:val="auto"/>
                <w:sz w:val="28"/>
                <w:szCs w:val="28"/>
                <w:lang w:val="en-US" w:eastAsia="zh-CN"/>
              </w:rPr>
              <w:t>1.94</w:t>
            </w:r>
            <w:r>
              <w:rPr>
                <w:rStyle w:val="21"/>
                <w:rFonts w:ascii="Times New Roman" w:hAnsi="Times New Roman" w:eastAsia="宋体"/>
                <w:color w:val="auto"/>
                <w:sz w:val="28"/>
                <w:szCs w:val="28"/>
              </w:rPr>
              <w:t>人/万人</w:t>
            </w:r>
          </w:p>
        </w:tc>
        <w:tc>
          <w:tcPr>
            <w:tcW w:w="14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Fonts w:ascii="Times New Roman" w:hAnsi="Times New Roman" w:eastAsia="宋体"/>
                <w:color w:val="auto"/>
                <w:sz w:val="28"/>
                <w:szCs w:val="28"/>
              </w:rPr>
            </w:pPr>
            <w:r>
              <w:rPr>
                <w:rStyle w:val="21"/>
                <w:rFonts w:ascii="Times New Roman" w:hAnsi="Times New Roman" w:eastAsia="宋体"/>
                <w:color w:val="auto"/>
                <w:sz w:val="28"/>
                <w:szCs w:val="28"/>
              </w:rPr>
              <w:t>提高60%</w:t>
            </w:r>
          </w:p>
        </w:tc>
        <w:tc>
          <w:tcPr>
            <w:tcW w:w="10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Fonts w:ascii="Times New Roman" w:hAnsi="Times New Roman" w:eastAsia="宋体"/>
                <w:color w:val="auto"/>
                <w:sz w:val="28"/>
                <w:szCs w:val="28"/>
              </w:rPr>
            </w:pPr>
            <w:r>
              <w:rPr>
                <w:rStyle w:val="21"/>
                <w:rFonts w:ascii="Times New Roman" w:hAnsi="Times New Roman" w:eastAsia="宋体"/>
                <w:color w:val="auto"/>
                <w:sz w:val="28"/>
                <w:szCs w:val="28"/>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3</w:t>
            </w:r>
          </w:p>
        </w:tc>
        <w:tc>
          <w:tcPr>
            <w:tcW w:w="360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both"/>
              <w:rPr>
                <w:rFonts w:ascii="Times New Roman" w:hAnsi="Times New Roman" w:eastAsia="宋体"/>
                <w:color w:val="auto"/>
                <w:sz w:val="28"/>
                <w:szCs w:val="28"/>
              </w:rPr>
            </w:pPr>
            <w:r>
              <w:rPr>
                <w:rStyle w:val="21"/>
                <w:rFonts w:ascii="Times New Roman" w:hAnsi="Times New Roman" w:eastAsia="宋体"/>
                <w:color w:val="auto"/>
                <w:sz w:val="28"/>
                <w:szCs w:val="28"/>
              </w:rPr>
              <w:t>十万人拥有消防救援站</w:t>
            </w:r>
          </w:p>
        </w:tc>
        <w:tc>
          <w:tcPr>
            <w:tcW w:w="22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color w:val="auto"/>
                <w:sz w:val="28"/>
                <w:szCs w:val="28"/>
              </w:rPr>
            </w:pPr>
            <w:r>
              <w:rPr>
                <w:rStyle w:val="21"/>
                <w:rFonts w:ascii="Times New Roman" w:hAnsi="Times New Roman" w:eastAsia="宋体"/>
                <w:color w:val="auto"/>
                <w:sz w:val="28"/>
                <w:szCs w:val="28"/>
              </w:rPr>
              <w:t>0.6</w:t>
            </w:r>
            <w:r>
              <w:rPr>
                <w:rStyle w:val="21"/>
                <w:rFonts w:hint="eastAsia"/>
                <w:color w:val="auto"/>
                <w:sz w:val="28"/>
                <w:szCs w:val="28"/>
                <w:lang w:val="en-US" w:eastAsia="zh-CN"/>
              </w:rPr>
              <w:t>12</w:t>
            </w:r>
            <w:r>
              <w:rPr>
                <w:rStyle w:val="21"/>
                <w:rFonts w:ascii="Times New Roman" w:hAnsi="Times New Roman" w:eastAsia="宋体"/>
                <w:color w:val="auto"/>
                <w:sz w:val="28"/>
                <w:szCs w:val="28"/>
              </w:rPr>
              <w:t>座/十万人</w:t>
            </w:r>
          </w:p>
        </w:tc>
        <w:tc>
          <w:tcPr>
            <w:tcW w:w="14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Fonts w:ascii="Times New Roman" w:hAnsi="Times New Roman" w:eastAsia="宋体"/>
                <w:color w:val="auto"/>
                <w:sz w:val="28"/>
                <w:szCs w:val="28"/>
              </w:rPr>
            </w:pPr>
            <w:r>
              <w:rPr>
                <w:rStyle w:val="21"/>
                <w:rFonts w:ascii="Times New Roman" w:hAnsi="Times New Roman" w:eastAsia="宋体"/>
                <w:color w:val="auto"/>
                <w:sz w:val="28"/>
                <w:szCs w:val="28"/>
              </w:rPr>
              <w:t>提高50%</w:t>
            </w:r>
          </w:p>
        </w:tc>
        <w:tc>
          <w:tcPr>
            <w:tcW w:w="10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Fonts w:ascii="Times New Roman" w:hAnsi="Times New Roman" w:eastAsia="宋体"/>
                <w:color w:val="auto"/>
                <w:sz w:val="28"/>
                <w:szCs w:val="28"/>
              </w:rPr>
            </w:pPr>
            <w:r>
              <w:rPr>
                <w:rStyle w:val="21"/>
                <w:rFonts w:ascii="Times New Roman" w:hAnsi="Times New Roman" w:eastAsia="宋体"/>
                <w:color w:val="auto"/>
                <w:sz w:val="28"/>
                <w:szCs w:val="28"/>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4</w:t>
            </w:r>
          </w:p>
        </w:tc>
        <w:tc>
          <w:tcPr>
            <w:tcW w:w="360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both"/>
              <w:rPr>
                <w:rFonts w:ascii="Times New Roman" w:hAnsi="Times New Roman" w:eastAsia="宋体"/>
                <w:sz w:val="28"/>
                <w:szCs w:val="28"/>
              </w:rPr>
            </w:pPr>
            <w:r>
              <w:rPr>
                <w:rStyle w:val="21"/>
                <w:rFonts w:ascii="Times New Roman" w:hAnsi="Times New Roman" w:eastAsia="宋体"/>
                <w:sz w:val="28"/>
                <w:szCs w:val="28"/>
              </w:rPr>
              <w:t>乡镇消防队建设率</w:t>
            </w:r>
          </w:p>
        </w:tc>
        <w:tc>
          <w:tcPr>
            <w:tcW w:w="22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Fonts w:ascii="Times New Roman" w:hAnsi="Times New Roman" w:eastAsia="宋体"/>
                <w:sz w:val="28"/>
                <w:szCs w:val="28"/>
              </w:rPr>
            </w:pPr>
            <w:r>
              <w:rPr>
                <w:rStyle w:val="21"/>
                <w:rFonts w:hint="eastAsia" w:ascii="Times New Roman" w:hAnsi="Times New Roman" w:eastAsia="宋体"/>
                <w:sz w:val="28"/>
                <w:szCs w:val="28"/>
                <w:lang w:val="en-US" w:eastAsia="zh-CN"/>
              </w:rPr>
              <w:t>53</w:t>
            </w:r>
            <w:r>
              <w:rPr>
                <w:rStyle w:val="21"/>
                <w:rFonts w:ascii="Times New Roman" w:hAnsi="Times New Roman" w:eastAsia="宋体"/>
                <w:sz w:val="28"/>
                <w:szCs w:val="28"/>
              </w:rPr>
              <w:t>%</w:t>
            </w:r>
          </w:p>
        </w:tc>
        <w:tc>
          <w:tcPr>
            <w:tcW w:w="14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Fonts w:ascii="Times New Roman" w:hAnsi="Times New Roman" w:eastAsia="宋体"/>
                <w:sz w:val="28"/>
                <w:szCs w:val="28"/>
              </w:rPr>
            </w:pPr>
            <w:r>
              <w:rPr>
                <w:rStyle w:val="21"/>
                <w:rFonts w:ascii="Times New Roman" w:hAnsi="Times New Roman" w:eastAsia="宋体"/>
                <w:sz w:val="28"/>
                <w:szCs w:val="28"/>
              </w:rPr>
              <w:t>提高30%</w:t>
            </w:r>
          </w:p>
        </w:tc>
        <w:tc>
          <w:tcPr>
            <w:tcW w:w="10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Fonts w:ascii="Times New Roman" w:hAnsi="Times New Roman" w:eastAsia="宋体"/>
                <w:sz w:val="28"/>
                <w:szCs w:val="28"/>
              </w:rPr>
            </w:pPr>
            <w:r>
              <w:rPr>
                <w:rStyle w:val="21"/>
                <w:rFonts w:ascii="Times New Roman" w:hAnsi="Times New Roman" w:eastAsia="宋体"/>
                <w:sz w:val="28"/>
                <w:szCs w:val="28"/>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5</w:t>
            </w:r>
          </w:p>
        </w:tc>
        <w:tc>
          <w:tcPr>
            <w:tcW w:w="360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both"/>
              <w:rPr>
                <w:rStyle w:val="21"/>
                <w:rFonts w:ascii="Times New Roman" w:hAnsi="Times New Roman" w:eastAsia="宋体"/>
                <w:sz w:val="28"/>
                <w:szCs w:val="28"/>
              </w:rPr>
            </w:pPr>
            <w:r>
              <w:rPr>
                <w:rStyle w:val="21"/>
                <w:rFonts w:ascii="Times New Roman" w:hAnsi="Times New Roman" w:eastAsia="宋体"/>
                <w:sz w:val="28"/>
                <w:szCs w:val="28"/>
              </w:rPr>
              <w:t>全民消防安全知晓率</w:t>
            </w:r>
          </w:p>
        </w:tc>
        <w:tc>
          <w:tcPr>
            <w:tcW w:w="22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70</w:t>
            </w:r>
          </w:p>
        </w:tc>
        <w:tc>
          <w:tcPr>
            <w:tcW w:w="14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提高5%</w:t>
            </w:r>
          </w:p>
        </w:tc>
        <w:tc>
          <w:tcPr>
            <w:tcW w:w="10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约束性</w:t>
            </w:r>
          </w:p>
        </w:tc>
      </w:tr>
    </w:tbl>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——消防安全形势保持平稳。杜绝较大以上火灾事故发生，火灾四项指标逐年保持平稳</w:t>
      </w:r>
      <w:r>
        <w:rPr>
          <w:rFonts w:hint="eastAsia" w:ascii="方正仿宋_GBK" w:hAnsi="方正仿宋_GBK" w:eastAsia="方正仿宋_GBK" w:cs="方正仿宋_GBK"/>
          <w:color w:val="auto"/>
          <w:spacing w:val="-20"/>
          <w:sz w:val="32"/>
          <w:szCs w:val="32"/>
          <w:lang w:val="en-US" w:eastAsia="zh-CN"/>
        </w:rPr>
        <w:t>。</w:t>
      </w:r>
      <w:r>
        <w:rPr>
          <w:rFonts w:hint="eastAsia" w:ascii="方正仿宋_GBK" w:hAnsi="方正仿宋_GBK" w:eastAsia="方正仿宋_GBK" w:cs="方正仿宋_GBK"/>
          <w:spacing w:val="-20"/>
          <w:sz w:val="32"/>
          <w:szCs w:val="32"/>
          <w:lang w:val="en-US" w:eastAsia="zh-CN"/>
        </w:rPr>
        <w:t>持续推进消防安全专项行动和综合治理，火灾隐患顽症及时消除，社会消防安全环境进一步改善。</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——消防安全责任有效落实。消防安全责任制落实到位，政府加强对消防工作统筹领导，行业主管部门和行政执法监管部门依法开展消防工作，单位消防安全管理规范有序。</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——消防安全法治更趋完善。结合城市发展特点，完善、升级更严格、更系统、更具操作性的地方消防法规、规章和标准规范体系，提升城市依法治火水平。</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消防宣传培训深入拓展。人民群众遵守消防法律法规的自觉性普遍提高，发现消除火灾隐患、扑救初期火灾和逃生自救互救能力明显增强，人为因素引起的火灾事故明显减少，公众消防安全常识知晓率达到85%以上。</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——社会消防治理创新发展。社会力量积极参与消防管理，市场机制调节作用充分发挥，现代科技、信息化技术与消防工作深度融合，创新社会消防治理走在全区前列。</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综合保障能力逐步优化。消防经费保障机制与城市建设发展相匹配。新建一批消防站，到“十四五”期末全市消防站达到18个。消防车辆装备体系优化调整。招录政府专职消防员80人，企事业单位专职和志愿消防力量同步发展壮大。</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灭火救援水平全面提升。指挥调度扁平顺畅，灭火救援装备结构合理，完善消防战勤保障体系，多元消防力量覆盖城乡，队伍执勤训练改革纵深推进，灭火作战和应急救援任务出色完成。各部门和各单位消防应急救援职责强化落实，建立应急救援联动机制。</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——消防工作考核不断严密。消防工作考核评价的项目、指标和方法科学设定，制定目标任务，定期督查，年底考评机制不断完善，考核成果充分运用，奖优罚劣，确保消防工作责任落实。</w:t>
      </w:r>
    </w:p>
    <w:p>
      <w:pPr>
        <w:keepNext w:val="0"/>
        <w:keepLines w:val="0"/>
        <w:pageBreakBefore w:val="0"/>
        <w:kinsoku/>
        <w:wordWrap/>
        <w:overflowPunct/>
        <w:topLinePunct w:val="0"/>
        <w:autoSpaceDE/>
        <w:autoSpaceDN/>
        <w:bidi w:val="0"/>
        <w:adjustRightInd w:val="0"/>
        <w:snapToGrid w:val="0"/>
        <w:spacing w:line="600" w:lineRule="exact"/>
        <w:jc w:val="center"/>
        <w:rPr>
          <w:rFonts w:hint="eastAsia" w:ascii="方正黑体_GBK" w:hAnsi="方正黑体_GBK" w:eastAsia="方正黑体_GBK" w:cs="方正黑体_GBK"/>
          <w:b/>
          <w:bCs/>
          <w:spacing w:val="-20"/>
          <w:sz w:val="32"/>
          <w:szCs w:val="32"/>
        </w:rPr>
      </w:pPr>
    </w:p>
    <w:p>
      <w:pPr>
        <w:keepNext w:val="0"/>
        <w:keepLines w:val="0"/>
        <w:pageBreakBefore w:val="0"/>
        <w:kinsoku/>
        <w:wordWrap/>
        <w:overflowPunct/>
        <w:topLinePunct w:val="0"/>
        <w:autoSpaceDE/>
        <w:autoSpaceDN/>
        <w:bidi w:val="0"/>
        <w:adjustRightInd w:val="0"/>
        <w:snapToGrid w:val="0"/>
        <w:spacing w:line="600" w:lineRule="exact"/>
        <w:jc w:val="center"/>
        <w:outlineLvl w:val="0"/>
        <w:rPr>
          <w:rFonts w:hint="eastAsia" w:ascii="方正黑体_GBK" w:hAnsi="方正黑体_GBK" w:eastAsia="方正黑体_GBK" w:cs="方正黑体_GBK"/>
          <w:b w:val="0"/>
          <w:bCs w:val="0"/>
          <w:spacing w:val="-20"/>
          <w:sz w:val="32"/>
          <w:szCs w:val="32"/>
          <w:lang w:eastAsia="zh-CN"/>
        </w:rPr>
      </w:pPr>
      <w:bookmarkStart w:id="18" w:name="_Toc28232"/>
      <w:r>
        <w:rPr>
          <w:rFonts w:hint="eastAsia" w:ascii="方正黑体_GBK" w:hAnsi="方正黑体_GBK" w:eastAsia="方正黑体_GBK" w:cs="方正黑体_GBK"/>
          <w:b w:val="0"/>
          <w:bCs w:val="0"/>
          <w:spacing w:val="-20"/>
          <w:sz w:val="32"/>
          <w:szCs w:val="32"/>
        </w:rPr>
        <w:t>第三章  主要任务和重大</w:t>
      </w:r>
      <w:r>
        <w:rPr>
          <w:rFonts w:hint="eastAsia" w:ascii="方正黑体_GBK" w:hAnsi="方正黑体_GBK" w:eastAsia="方正黑体_GBK" w:cs="方正黑体_GBK"/>
          <w:b w:val="0"/>
          <w:bCs w:val="0"/>
          <w:spacing w:val="-20"/>
          <w:sz w:val="32"/>
          <w:szCs w:val="32"/>
          <w:lang w:eastAsia="zh-CN"/>
        </w:rPr>
        <w:t>项目</w:t>
      </w:r>
      <w:bookmarkEnd w:id="18"/>
    </w:p>
    <w:p>
      <w:pPr>
        <w:keepNext w:val="0"/>
        <w:keepLines w:val="0"/>
        <w:pageBreakBefore w:val="0"/>
        <w:kinsoku/>
        <w:wordWrap/>
        <w:overflowPunct/>
        <w:topLinePunct w:val="0"/>
        <w:autoSpaceDE/>
        <w:autoSpaceDN/>
        <w:bidi w:val="0"/>
        <w:adjustRightInd w:val="0"/>
        <w:snapToGrid w:val="0"/>
        <w:spacing w:line="600" w:lineRule="exact"/>
        <w:jc w:val="center"/>
        <w:rPr>
          <w:rFonts w:hint="eastAsia" w:ascii="方正楷体_GBK" w:hAnsi="方正楷体_GBK" w:eastAsia="方正楷体_GBK" w:cs="方正楷体_GBK"/>
          <w:b/>
          <w:bCs/>
          <w:spacing w:val="-20"/>
          <w:sz w:val="32"/>
          <w:szCs w:val="32"/>
        </w:rPr>
      </w:pPr>
    </w:p>
    <w:p>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rPr>
      </w:pPr>
      <w:r>
        <w:rPr>
          <w:rFonts w:hint="eastAsia" w:ascii="方正楷体_GBK" w:hAnsi="方正楷体_GBK" w:eastAsia="方正楷体_GBK" w:cs="方正楷体_GBK"/>
          <w:b/>
          <w:bCs/>
          <w:spacing w:val="-20"/>
          <w:sz w:val="32"/>
          <w:szCs w:val="32"/>
          <w:lang w:val="en-US" w:eastAsia="zh-CN"/>
        </w:rPr>
        <w:t xml:space="preserve"> </w:t>
      </w:r>
      <w:bookmarkStart w:id="19" w:name="_Toc17268"/>
      <w:r>
        <w:rPr>
          <w:rFonts w:hint="eastAsia" w:ascii="方正楷体_GBK" w:hAnsi="方正楷体_GBK" w:eastAsia="方正楷体_GBK" w:cs="方正楷体_GBK"/>
          <w:b/>
          <w:bCs/>
          <w:spacing w:val="-20"/>
          <w:sz w:val="32"/>
          <w:szCs w:val="32"/>
        </w:rPr>
        <w:t>一</w:t>
      </w:r>
      <w:r>
        <w:rPr>
          <w:rFonts w:hint="eastAsia" w:ascii="方正楷体_GBK" w:hAnsi="方正楷体_GBK" w:eastAsia="方正楷体_GBK" w:cs="方正楷体_GBK"/>
          <w:b/>
          <w:bCs/>
          <w:spacing w:val="-20"/>
          <w:sz w:val="32"/>
          <w:szCs w:val="32"/>
          <w:lang w:val="en-US" w:eastAsia="zh-CN"/>
        </w:rPr>
        <w:t xml:space="preserve"> </w:t>
      </w:r>
      <w:r>
        <w:rPr>
          <w:rFonts w:hint="eastAsia" w:ascii="方正楷体_GBK" w:hAnsi="方正楷体_GBK" w:eastAsia="方正楷体_GBK" w:cs="方正楷体_GBK"/>
          <w:b/>
          <w:bCs/>
          <w:spacing w:val="-20"/>
          <w:sz w:val="32"/>
          <w:szCs w:val="32"/>
          <w:lang w:eastAsia="zh-CN"/>
        </w:rPr>
        <w:t>、</w:t>
      </w:r>
      <w:r>
        <w:rPr>
          <w:rFonts w:hint="eastAsia" w:ascii="方正楷体_GBK" w:hAnsi="方正楷体_GBK" w:eastAsia="方正楷体_GBK" w:cs="方正楷体_GBK"/>
          <w:b/>
          <w:bCs/>
          <w:spacing w:val="-20"/>
          <w:sz w:val="32"/>
          <w:szCs w:val="32"/>
        </w:rPr>
        <w:t>全面推动消防安全责任落实</w:t>
      </w:r>
      <w:bookmarkEnd w:id="19"/>
    </w:p>
    <w:p>
      <w:pPr>
        <w:pStyle w:val="2"/>
        <w:rPr>
          <w:rFonts w:hint="eastAsia"/>
        </w:rPr>
      </w:pPr>
    </w:p>
    <w:p>
      <w:pPr>
        <w:keepNext w:val="0"/>
        <w:keepLines w:val="0"/>
        <w:pageBreakBefore w:val="0"/>
        <w:kinsoku/>
        <w:wordWrap/>
        <w:overflowPunct/>
        <w:topLinePunct w:val="0"/>
        <w:autoSpaceDE/>
        <w:autoSpaceDN/>
        <w:bidi w:val="0"/>
        <w:adjustRightInd w:val="0"/>
        <w:snapToGrid w:val="0"/>
        <w:spacing w:line="600" w:lineRule="exact"/>
        <w:ind w:firstLine="560" w:firstLineChars="200"/>
        <w:outlineLvl w:val="2"/>
        <w:rPr>
          <w:rFonts w:hint="eastAsia" w:ascii="方正仿宋_GBK" w:hAnsi="方正仿宋_GBK" w:eastAsia="方正仿宋_GBK" w:cs="方正仿宋_GBK"/>
          <w:b/>
          <w:bCs/>
          <w:spacing w:val="-20"/>
          <w:sz w:val="32"/>
          <w:szCs w:val="32"/>
          <w:lang w:val="en-US" w:eastAsia="zh-CN"/>
        </w:rPr>
      </w:pPr>
      <w:bookmarkStart w:id="20" w:name="_Toc29560"/>
      <w:r>
        <w:rPr>
          <w:rFonts w:hint="eastAsia" w:ascii="方正仿宋_GBK" w:hAnsi="方正仿宋_GBK" w:eastAsia="方正仿宋_GBK" w:cs="方正仿宋_GBK"/>
          <w:b/>
          <w:bCs/>
          <w:spacing w:val="-20"/>
          <w:sz w:val="32"/>
          <w:szCs w:val="32"/>
          <w:lang w:val="en-US" w:eastAsia="zh-CN"/>
        </w:rPr>
        <w:t>（一）落实党委政府领导责任</w:t>
      </w:r>
      <w:bookmarkEnd w:id="20"/>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持续将消防工作纳入政府综合绩效考核内容，将公共消防设施和装备建设、消防经费、社会消防力量发展、重大火灾隐患整改等纳入政府任期工作目标，完善考评和问责机制，严格责任追究，有效落实奖惩，实行消防安全一票否决。推动消防救援事业与当地经济社会发展同步规划、协调发展，缩小经济建设和消防基础建设的差距。依托安全生产委员会、防火安全委员会平台，完善联席会商、联合执法、情况通报、函告以及火灾延伸调查等制度，每季度研判消防安全形势。</w:t>
      </w:r>
    </w:p>
    <w:p>
      <w:pPr>
        <w:keepNext w:val="0"/>
        <w:keepLines w:val="0"/>
        <w:pageBreakBefore w:val="0"/>
        <w:kinsoku/>
        <w:wordWrap/>
        <w:overflowPunct/>
        <w:topLinePunct w:val="0"/>
        <w:autoSpaceDE/>
        <w:autoSpaceDN/>
        <w:bidi w:val="0"/>
        <w:adjustRightInd w:val="0"/>
        <w:snapToGrid w:val="0"/>
        <w:spacing w:line="600" w:lineRule="exact"/>
        <w:ind w:firstLine="560" w:firstLineChars="200"/>
        <w:outlineLvl w:val="2"/>
        <w:rPr>
          <w:rFonts w:hint="eastAsia" w:ascii="方正仿宋_GBK" w:hAnsi="方正仿宋_GBK" w:eastAsia="方正仿宋_GBK" w:cs="方正仿宋_GBK"/>
          <w:b/>
          <w:bCs/>
          <w:spacing w:val="-20"/>
          <w:sz w:val="32"/>
          <w:szCs w:val="32"/>
          <w:lang w:val="en-US" w:eastAsia="zh-CN"/>
        </w:rPr>
      </w:pPr>
      <w:bookmarkStart w:id="21" w:name="_Toc22590"/>
      <w:r>
        <w:rPr>
          <w:rFonts w:hint="eastAsia" w:ascii="方正仿宋_GBK" w:hAnsi="方正仿宋_GBK" w:eastAsia="方正仿宋_GBK" w:cs="方正仿宋_GBK"/>
          <w:b/>
          <w:bCs/>
          <w:spacing w:val="-20"/>
          <w:sz w:val="32"/>
          <w:szCs w:val="32"/>
          <w:lang w:val="en-US" w:eastAsia="zh-CN"/>
        </w:rPr>
        <w:t>（二）落实行业部门监管责任</w:t>
      </w:r>
      <w:bookmarkEnd w:id="21"/>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按照“管行业必须管安全、管业务必须管安全、管生产经营必须管安全”的要求，各</w:t>
      </w:r>
      <w:r>
        <w:rPr>
          <w:rFonts w:hint="eastAsia" w:ascii="方正仿宋_GBK" w:hAnsi="方正仿宋_GBK" w:eastAsia="方正仿宋_GBK" w:cs="方正仿宋_GBK"/>
          <w:spacing w:val="-20"/>
          <w:sz w:val="32"/>
          <w:szCs w:val="32"/>
          <w:lang w:val="en-US" w:eastAsia="zh-CN"/>
        </w:rPr>
        <w:t>主管部门和行业系统依法出台本行业、系统的消防安全标准，实施标准化管理，以标准化促进消防管理规范化。2021-2025年各行业部门本系统20%、40%、60%、80%、100%单位完成消防管理规范化达标创建。教育、民政、住建、文旅、卫健等部门切实加强所属单位及本行业领域的消防安全管理，把消防安全纳入行业发展规划，组织开展隐患排查治理、消防安全培训、先进消防安全技术推广、消防安全队伍建设等工作，落实行业系统火灾隐患及火灾事故通报制度。住建、人社、商务、市监、应急管理等部门依法依规履行本部门的消防安全管理职责，规范生产、经营、建设秩序。</w:t>
      </w:r>
    </w:p>
    <w:p>
      <w:pPr>
        <w:keepNext w:val="0"/>
        <w:keepLines w:val="0"/>
        <w:pageBreakBefore w:val="0"/>
        <w:kinsoku/>
        <w:wordWrap/>
        <w:overflowPunct/>
        <w:topLinePunct w:val="0"/>
        <w:autoSpaceDE/>
        <w:autoSpaceDN/>
        <w:bidi w:val="0"/>
        <w:adjustRightInd w:val="0"/>
        <w:snapToGrid w:val="0"/>
        <w:spacing w:line="600" w:lineRule="exact"/>
        <w:ind w:firstLine="560" w:firstLineChars="200"/>
        <w:outlineLvl w:val="2"/>
        <w:rPr>
          <w:rFonts w:hint="eastAsia" w:ascii="方正仿宋_GBK" w:hAnsi="方正仿宋_GBK" w:eastAsia="方正仿宋_GBK" w:cs="方正仿宋_GBK"/>
          <w:b/>
          <w:bCs/>
          <w:spacing w:val="-20"/>
          <w:sz w:val="32"/>
          <w:szCs w:val="32"/>
          <w:lang w:val="en-US" w:eastAsia="zh-CN"/>
        </w:rPr>
      </w:pPr>
      <w:bookmarkStart w:id="22" w:name="_Toc295"/>
      <w:r>
        <w:rPr>
          <w:rFonts w:hint="eastAsia" w:ascii="方正仿宋_GBK" w:hAnsi="方正仿宋_GBK" w:eastAsia="方正仿宋_GBK" w:cs="方正仿宋_GBK"/>
          <w:b/>
          <w:bCs/>
          <w:spacing w:val="-20"/>
          <w:sz w:val="32"/>
          <w:szCs w:val="32"/>
          <w:lang w:val="en-US" w:eastAsia="zh-CN"/>
        </w:rPr>
        <w:t>（三）落实社会单位主体责任</w:t>
      </w:r>
      <w:bookmarkEnd w:id="22"/>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不断提升社会单位自我管理意识，保障消防安全经费投入，严格日常消防安全巡查检查，全面开展单位消防安全标准化建设，落实消防安全标准化管理措施，2021年至2025年全市重点单位标准化管理达标率，分别达到60%、70%、80%、90%。100%。建立、完善社会单位消防安全信用体系，推行重点单位消防安全状况评价结果与银行、证券、保险信用等级评定以及企业市场准入挂钩制度，利用市场手段，督促单位增强消防安全管理水平。鼓励支持公众聚集场所和易燃易爆场所投保火灾公众责任险</w:t>
      </w:r>
      <w:r>
        <w:rPr>
          <w:rFonts w:hint="eastAsia" w:ascii="方正仿宋_GBK" w:hAnsi="方正仿宋_GBK" w:eastAsia="方正仿宋_GBK" w:cs="方正仿宋_GBK"/>
          <w:color w:val="auto"/>
          <w:spacing w:val="-20"/>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600" w:lineRule="exact"/>
        <w:jc w:val="center"/>
        <w:rPr>
          <w:rFonts w:hint="eastAsia" w:ascii="方正楷体_GBK" w:hAnsi="方正楷体_GBK" w:eastAsia="方正楷体_GBK" w:cs="方正楷体_GBK"/>
          <w:b/>
          <w:bCs/>
          <w:spacing w:val="-20"/>
          <w:sz w:val="32"/>
          <w:szCs w:val="32"/>
        </w:rPr>
      </w:pPr>
    </w:p>
    <w:p>
      <w:pPr>
        <w:keepNext w:val="0"/>
        <w:keepLines w:val="0"/>
        <w:pageBreakBefore w:val="0"/>
        <w:numPr>
          <w:ilvl w:val="0"/>
          <w:numId w:val="1"/>
        </w:numPr>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rPr>
      </w:pPr>
      <w:bookmarkStart w:id="23" w:name="_Toc8109"/>
      <w:r>
        <w:rPr>
          <w:rFonts w:hint="eastAsia" w:ascii="方正楷体_GBK" w:hAnsi="方正楷体_GBK" w:eastAsia="方正楷体_GBK" w:cs="方正楷体_GBK"/>
          <w:b/>
          <w:bCs/>
          <w:spacing w:val="-20"/>
          <w:sz w:val="32"/>
          <w:szCs w:val="32"/>
        </w:rPr>
        <w:t>全面推进公共消防设施建设</w:t>
      </w:r>
      <w:bookmarkEnd w:id="23"/>
    </w:p>
    <w:p>
      <w:pPr>
        <w:pStyle w:val="2"/>
        <w:numPr>
          <w:ilvl w:val="0"/>
          <w:numId w:val="0"/>
        </w:numPr>
        <w:rPr>
          <w:rFonts w:hint="eastAsia"/>
        </w:rPr>
      </w:pPr>
    </w:p>
    <w:p>
      <w:pPr>
        <w:keepNext w:val="0"/>
        <w:keepLines w:val="0"/>
        <w:pageBreakBefore w:val="0"/>
        <w:kinsoku/>
        <w:wordWrap/>
        <w:overflowPunct/>
        <w:topLinePunct w:val="0"/>
        <w:autoSpaceDE/>
        <w:autoSpaceDN/>
        <w:bidi w:val="0"/>
        <w:adjustRightInd w:val="0"/>
        <w:snapToGrid w:val="0"/>
        <w:spacing w:line="600" w:lineRule="exact"/>
        <w:ind w:firstLine="560" w:firstLineChars="200"/>
        <w:outlineLvl w:val="2"/>
        <w:rPr>
          <w:rFonts w:hint="eastAsia" w:ascii="方正仿宋_GBK" w:hAnsi="方正仿宋_GBK" w:eastAsia="方正仿宋_GBK" w:cs="方正仿宋_GBK"/>
          <w:b/>
          <w:bCs/>
          <w:spacing w:val="-20"/>
          <w:sz w:val="32"/>
          <w:szCs w:val="32"/>
          <w:lang w:val="en-US" w:eastAsia="zh-CN"/>
        </w:rPr>
      </w:pPr>
      <w:bookmarkStart w:id="24" w:name="_Toc23437"/>
      <w:r>
        <w:rPr>
          <w:rFonts w:hint="eastAsia" w:ascii="方正仿宋_GBK" w:hAnsi="方正仿宋_GBK" w:eastAsia="方正仿宋_GBK" w:cs="方正仿宋_GBK"/>
          <w:b/>
          <w:bCs/>
          <w:spacing w:val="-20"/>
          <w:sz w:val="32"/>
          <w:szCs w:val="32"/>
          <w:lang w:val="en-US" w:eastAsia="zh-CN"/>
        </w:rPr>
        <w:t>（一）加强消防经费保障建设</w:t>
      </w:r>
      <w:bookmarkEnd w:id="24"/>
      <w:r>
        <w:rPr>
          <w:rFonts w:hint="eastAsia" w:ascii="方正仿宋_GBK" w:hAnsi="方正仿宋_GBK" w:eastAsia="方正仿宋_GBK" w:cs="方正仿宋_GBK"/>
          <w:b/>
          <w:bCs/>
          <w:spacing w:val="-20"/>
          <w:sz w:val="32"/>
          <w:szCs w:val="32"/>
          <w:lang w:val="en-US" w:eastAsia="zh-CN"/>
        </w:rPr>
        <w:t xml:space="preserve"> </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落实中央和自治区有关规定，进一步规范和细化消防救援队伍经费保障管理工作，健全完善经费分类保障机制，按照现行事权、财权划分原则，各级财政将消防救援队伍人员经费、公用经费、项目支出列入同级预算，根据经济社会发展水平，适时调整消防业务经费标准。建立与“十四五”消防事业发展相适应与经济社会发展相协调的经费保障机制，逐步加大消防站点建设、消防装备器材购置、消防训练基地建设、消防水源建设、消防信息化建设、政府专职消防队建设等项目经费投入力度。</w:t>
      </w:r>
    </w:p>
    <w:p>
      <w:pPr>
        <w:keepNext w:val="0"/>
        <w:keepLines w:val="0"/>
        <w:pageBreakBefore w:val="0"/>
        <w:kinsoku/>
        <w:wordWrap/>
        <w:overflowPunct/>
        <w:topLinePunct w:val="0"/>
        <w:autoSpaceDE/>
        <w:autoSpaceDN/>
        <w:bidi w:val="0"/>
        <w:adjustRightInd w:val="0"/>
        <w:snapToGrid w:val="0"/>
        <w:spacing w:line="600" w:lineRule="exact"/>
        <w:ind w:firstLine="560" w:firstLineChars="200"/>
        <w:outlineLvl w:val="2"/>
        <w:rPr>
          <w:rFonts w:hint="eastAsia" w:ascii="方正仿宋_GBK" w:hAnsi="方正仿宋_GBK" w:eastAsia="方正仿宋_GBK" w:cs="方正仿宋_GBK"/>
          <w:b/>
          <w:bCs/>
          <w:spacing w:val="-20"/>
          <w:sz w:val="32"/>
          <w:szCs w:val="32"/>
          <w:lang w:val="en-US" w:eastAsia="zh-CN"/>
        </w:rPr>
      </w:pPr>
      <w:bookmarkStart w:id="25" w:name="_Toc30724"/>
      <w:r>
        <w:rPr>
          <w:rFonts w:hint="eastAsia" w:ascii="方正仿宋_GBK" w:hAnsi="方正仿宋_GBK" w:eastAsia="方正仿宋_GBK" w:cs="方正仿宋_GBK"/>
          <w:b/>
          <w:bCs/>
          <w:spacing w:val="-20"/>
          <w:sz w:val="32"/>
          <w:szCs w:val="32"/>
          <w:lang w:val="en-US" w:eastAsia="zh-CN"/>
        </w:rPr>
        <w:t>（二）加强公共消防基础建设</w:t>
      </w:r>
      <w:bookmarkEnd w:id="25"/>
      <w:r>
        <w:rPr>
          <w:rFonts w:hint="eastAsia" w:ascii="方正仿宋_GBK" w:hAnsi="方正仿宋_GBK" w:eastAsia="方正仿宋_GBK" w:cs="方正仿宋_GBK"/>
          <w:b/>
          <w:bCs/>
          <w:spacing w:val="-20"/>
          <w:sz w:val="32"/>
          <w:szCs w:val="32"/>
          <w:lang w:val="en-US" w:eastAsia="zh-CN"/>
        </w:rPr>
        <w:t xml:space="preserve"> </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default" w:ascii="方正仿宋_GBK" w:hAnsi="方正仿宋_GBK" w:eastAsia="方正仿宋_GBK" w:cs="方正仿宋_GBK"/>
          <w:spacing w:val="-20"/>
          <w:sz w:val="32"/>
          <w:szCs w:val="32"/>
          <w:lang w:val="en-US" w:eastAsia="zh-CN"/>
        </w:rPr>
        <w:t>“十四五”期间，全市应根据城镇发展实际，同步规划建设市政消火栓，落实市政消火栓建设、维护、管理等职责分工，推动各旗县区加大市政消火栓补建、改造力度。2022年底前，</w:t>
      </w:r>
      <w:r>
        <w:rPr>
          <w:rFonts w:hint="eastAsia" w:ascii="方正仿宋_GBK" w:hAnsi="方正仿宋_GBK" w:eastAsia="方正仿宋_GBK" w:cs="方正仿宋_GBK"/>
          <w:spacing w:val="-20"/>
          <w:sz w:val="32"/>
          <w:szCs w:val="32"/>
          <w:lang w:val="en-US" w:eastAsia="zh-CN"/>
        </w:rPr>
        <w:t>市、旗县区和建制苏木乡镇</w:t>
      </w:r>
      <w:r>
        <w:rPr>
          <w:rFonts w:hint="default" w:ascii="方正仿宋_GBK" w:hAnsi="方正仿宋_GBK" w:eastAsia="方正仿宋_GBK" w:cs="方正仿宋_GBK"/>
          <w:spacing w:val="-20"/>
          <w:sz w:val="32"/>
          <w:szCs w:val="32"/>
          <w:lang w:val="en-US" w:eastAsia="zh-CN"/>
        </w:rPr>
        <w:t>应当基本补齐市政消防水源欠账，确保基本达到国家标准要求，实现建成区消防供水全覆盖，满足消防用水需求，各地新建道路消火栓配备率到达100%。到2023年，在较大以上行政村设立消防取水口，满足农村消防用水需要。到2025年，全市市政消火栓建有率达到100%，年完好率达到98%，每个旗县区湖泊河流都设立消防取水口和取水码头。</w:t>
      </w:r>
    </w:p>
    <w:p>
      <w:pPr>
        <w:keepNext w:val="0"/>
        <w:keepLines w:val="0"/>
        <w:pageBreakBefore w:val="0"/>
        <w:kinsoku/>
        <w:wordWrap/>
        <w:overflowPunct/>
        <w:topLinePunct w:val="0"/>
        <w:autoSpaceDE/>
        <w:autoSpaceDN/>
        <w:bidi w:val="0"/>
        <w:adjustRightInd w:val="0"/>
        <w:snapToGrid w:val="0"/>
        <w:spacing w:line="600" w:lineRule="exact"/>
        <w:ind w:firstLine="560" w:firstLineChars="200"/>
        <w:outlineLvl w:val="2"/>
        <w:rPr>
          <w:rFonts w:hint="eastAsia" w:ascii="方正仿宋_GBK" w:hAnsi="方正仿宋_GBK" w:eastAsia="方正仿宋_GBK" w:cs="方正仿宋_GBK"/>
          <w:b/>
          <w:bCs/>
          <w:spacing w:val="-20"/>
          <w:sz w:val="32"/>
          <w:szCs w:val="32"/>
          <w:lang w:val="en-US" w:eastAsia="zh-CN"/>
        </w:rPr>
      </w:pPr>
      <w:bookmarkStart w:id="26" w:name="_Toc12043"/>
      <w:r>
        <w:rPr>
          <w:rFonts w:hint="eastAsia" w:ascii="方正仿宋_GBK" w:hAnsi="方正仿宋_GBK" w:eastAsia="方正仿宋_GBK" w:cs="方正仿宋_GBK"/>
          <w:b/>
          <w:bCs/>
          <w:spacing w:val="-20"/>
          <w:sz w:val="32"/>
          <w:szCs w:val="32"/>
          <w:lang w:val="en-US" w:eastAsia="zh-CN"/>
        </w:rPr>
        <w:t>（三）加强消防队站建设</w:t>
      </w:r>
      <w:bookmarkEnd w:id="26"/>
    </w:p>
    <w:p>
      <w:pPr>
        <w:keepNext w:val="0"/>
        <w:keepLines w:val="0"/>
        <w:pageBreakBefore w:val="0"/>
        <w:numPr>
          <w:ilvl w:val="0"/>
          <w:numId w:val="0"/>
        </w:numPr>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根据各地城市建设总体规划和发展需求，同步规划和建设消防站，逐步提高队站建设密度，2025年底前，新增6个消防救援站投入执勤，临河区2个（原牧街消防站、乌拉特大街消防站）、乌拉特前旗2个（乌拉特前旗工业园区消防站、白彦花街消防站）、杭锦后旗1个（杭锦后旗龙宝东街消防救援站）、五原1个（五原团结路消防救援站）。进一步完善消防训练基地各项训练设施，到2022年底前，完成烟热训练设施、燃烧训练设施；到2025年底前，完成火幕墙训练设施、电气火灾事故处置训练设施、危险化学品泄漏事故处置训练设施、道路交通事故处置训练设施、高空救助训练设施、受限空间救助训练设施；建设水上综合救援训练基地。</w:t>
      </w:r>
    </w:p>
    <w:p>
      <w:pPr>
        <w:pStyle w:val="2"/>
        <w:rPr>
          <w:rFonts w:hint="eastAsia"/>
          <w:lang w:val="en-US" w:eastAsia="zh-CN"/>
        </w:rPr>
      </w:pP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108" w:type="dxa"/>
            <w:bottom w:w="0" w:type="dxa"/>
            <w:right w:w="108" w:type="dxa"/>
          </w:tblCellMar>
        </w:tblPrEx>
        <w:trPr>
          <w:jc w:val="center"/>
        </w:trPr>
        <w:tc>
          <w:tcPr>
            <w:tcW w:w="9060" w:type="dxa"/>
          </w:tcPr>
          <w:p>
            <w:pPr>
              <w:keepNext w:val="0"/>
              <w:keepLines w:val="0"/>
              <w:pageBreakBefore w:val="0"/>
              <w:kinsoku/>
              <w:wordWrap/>
              <w:overflowPunct/>
              <w:topLinePunct w:val="0"/>
              <w:autoSpaceDE/>
              <w:autoSpaceDN/>
              <w:bidi w:val="0"/>
              <w:spacing w:after="0" w:line="600" w:lineRule="exact"/>
              <w:jc w:val="center"/>
              <w:rPr>
                <w:rFonts w:ascii="Times New Roman" w:hAnsi="Times New Roman" w:eastAsia="方正仿宋_GBK"/>
                <w:b/>
                <w:color w:val="000000"/>
                <w:sz w:val="32"/>
                <w:szCs w:val="32"/>
              </w:rPr>
            </w:pPr>
            <w:r>
              <w:rPr>
                <w:rFonts w:hint="eastAsia" w:ascii="Times New Roman" w:hAnsi="Times New Roman" w:eastAsia="方正仿宋_GBK"/>
                <w:b/>
                <w:color w:val="000000"/>
                <w:sz w:val="32"/>
                <w:szCs w:val="32"/>
              </w:rPr>
              <w:t>专栏</w:t>
            </w:r>
            <w:r>
              <w:rPr>
                <w:rFonts w:hint="eastAsia" w:eastAsia="方正仿宋_GBK"/>
                <w:b/>
                <w:color w:val="000000"/>
                <w:sz w:val="32"/>
                <w:szCs w:val="32"/>
                <w:lang w:val="en-US" w:eastAsia="zh-CN"/>
              </w:rPr>
              <w:t>2</w:t>
            </w:r>
            <w:r>
              <w:rPr>
                <w:rFonts w:hint="eastAsia" w:ascii="Times New Roman" w:hAnsi="Times New Roman" w:eastAsia="方正仿宋_GBK"/>
                <w:b/>
                <w:color w:val="000000"/>
                <w:sz w:val="32"/>
                <w:szCs w:val="32"/>
              </w:rPr>
              <w:t>消防站建设重点</w:t>
            </w:r>
          </w:p>
        </w:tc>
      </w:tr>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108" w:type="dxa"/>
            <w:bottom w:w="0" w:type="dxa"/>
            <w:right w:w="108" w:type="dxa"/>
          </w:tblCellMar>
        </w:tblPrEx>
        <w:trPr>
          <w:trHeight w:val="1130" w:hRule="atLeast"/>
          <w:jc w:val="center"/>
        </w:trPr>
        <w:tc>
          <w:tcPr>
            <w:tcW w:w="9060" w:type="dxa"/>
          </w:tcPr>
          <w:p>
            <w:pPr>
              <w:keepNext w:val="0"/>
              <w:keepLines w:val="0"/>
              <w:pageBreakBefore w:val="0"/>
              <w:kinsoku/>
              <w:wordWrap/>
              <w:overflowPunct/>
              <w:topLinePunct w:val="0"/>
              <w:autoSpaceDE/>
              <w:autoSpaceDN/>
              <w:bidi w:val="0"/>
              <w:spacing w:after="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新建消防站</w:t>
            </w:r>
            <w:r>
              <w:rPr>
                <w:rFonts w:hint="eastAsia" w:eastAsia="方正仿宋_GBK"/>
                <w:color w:val="000000"/>
                <w:sz w:val="32"/>
                <w:szCs w:val="32"/>
                <w:lang w:val="en-US" w:eastAsia="zh-CN"/>
              </w:rPr>
              <w:t>7</w:t>
            </w:r>
            <w:r>
              <w:rPr>
                <w:rFonts w:hint="eastAsia" w:ascii="Times New Roman" w:hAnsi="Times New Roman" w:eastAsia="方正仿宋_GBK"/>
                <w:color w:val="000000"/>
                <w:sz w:val="32"/>
                <w:szCs w:val="32"/>
              </w:rPr>
              <w:t>个（</w:t>
            </w:r>
            <w:r>
              <w:rPr>
                <w:rFonts w:hint="eastAsia" w:ascii="Times New Roman" w:hAnsi="Times New Roman" w:eastAsia="方正仿宋_GBK"/>
                <w:color w:val="000000"/>
                <w:sz w:val="32"/>
                <w:szCs w:val="32"/>
                <w:lang w:eastAsia="zh-CN"/>
              </w:rPr>
              <w:t>一级普通</w:t>
            </w:r>
            <w:r>
              <w:rPr>
                <w:rFonts w:hint="eastAsia" w:ascii="Times New Roman" w:hAnsi="Times New Roman" w:eastAsia="方正仿宋_GBK"/>
                <w:color w:val="000000"/>
                <w:sz w:val="32"/>
                <w:szCs w:val="32"/>
              </w:rPr>
              <w:t>消防站</w:t>
            </w:r>
            <w:r>
              <w:rPr>
                <w:rFonts w:hint="eastAsia" w:ascii="Times New Roman" w:hAnsi="Times New Roman" w:eastAsia="方正仿宋_GBK"/>
                <w:color w:val="000000"/>
                <w:sz w:val="32"/>
                <w:szCs w:val="32"/>
                <w:lang w:val="en-US" w:eastAsia="zh-CN"/>
              </w:rPr>
              <w:t>1</w:t>
            </w:r>
            <w:r>
              <w:rPr>
                <w:rFonts w:hint="eastAsia" w:ascii="Times New Roman" w:hAnsi="Times New Roman" w:eastAsia="方正仿宋_GBK"/>
                <w:color w:val="000000"/>
                <w:sz w:val="32"/>
                <w:szCs w:val="32"/>
              </w:rPr>
              <w:t>个、二级普通消防站</w:t>
            </w:r>
            <w:r>
              <w:rPr>
                <w:rFonts w:hint="eastAsia" w:eastAsia="方正仿宋_GBK"/>
                <w:color w:val="000000"/>
                <w:sz w:val="32"/>
                <w:szCs w:val="32"/>
                <w:lang w:val="en-US" w:eastAsia="zh-CN"/>
              </w:rPr>
              <w:t>2</w:t>
            </w:r>
            <w:r>
              <w:rPr>
                <w:rFonts w:hint="eastAsia" w:ascii="Times New Roman" w:hAnsi="Times New Roman" w:eastAsia="方正仿宋_GBK"/>
                <w:color w:val="000000"/>
                <w:sz w:val="32"/>
                <w:szCs w:val="32"/>
              </w:rPr>
              <w:t>个、小型消防站</w:t>
            </w:r>
            <w:r>
              <w:rPr>
                <w:rFonts w:hint="eastAsia" w:eastAsia="方正仿宋_GBK"/>
                <w:color w:val="000000"/>
                <w:sz w:val="32"/>
                <w:szCs w:val="32"/>
                <w:lang w:val="en-US" w:eastAsia="zh-CN"/>
              </w:rPr>
              <w:t>3</w:t>
            </w:r>
            <w:r>
              <w:rPr>
                <w:rFonts w:hint="eastAsia" w:ascii="Times New Roman" w:hAnsi="Times New Roman" w:eastAsia="方正仿宋_GBK"/>
                <w:color w:val="000000"/>
                <w:sz w:val="32"/>
                <w:szCs w:val="32"/>
              </w:rPr>
              <w:t>个、</w:t>
            </w:r>
            <w:r>
              <w:rPr>
                <w:rFonts w:hint="eastAsia" w:ascii="Times New Roman" w:hAnsi="Times New Roman" w:eastAsia="方正仿宋_GBK"/>
                <w:color w:val="000000"/>
                <w:sz w:val="32"/>
                <w:szCs w:val="32"/>
                <w:lang w:eastAsia="zh-CN"/>
              </w:rPr>
              <w:t>水上训练</w:t>
            </w:r>
            <w:r>
              <w:rPr>
                <w:rFonts w:hint="eastAsia" w:ascii="Times New Roman" w:hAnsi="Times New Roman" w:eastAsia="方正仿宋_GBK"/>
                <w:color w:val="000000"/>
                <w:sz w:val="32"/>
                <w:szCs w:val="32"/>
              </w:rPr>
              <w:t>基地</w:t>
            </w:r>
            <w:r>
              <w:rPr>
                <w:rFonts w:hint="eastAsia" w:ascii="Times New Roman" w:hAnsi="Times New Roman" w:eastAsia="方正仿宋_GBK"/>
                <w:color w:val="000000"/>
                <w:sz w:val="32"/>
                <w:szCs w:val="32"/>
                <w:lang w:val="en-US" w:eastAsia="zh-CN"/>
              </w:rPr>
              <w:t>1</w:t>
            </w:r>
            <w:r>
              <w:rPr>
                <w:rFonts w:hint="eastAsia" w:ascii="Times New Roman" w:hAnsi="Times New Roman" w:eastAsia="方正仿宋_GBK"/>
                <w:color w:val="000000"/>
                <w:sz w:val="32"/>
                <w:szCs w:val="32"/>
              </w:rPr>
              <w:t>个）；</w:t>
            </w:r>
          </w:p>
          <w:p>
            <w:pPr>
              <w:keepNext w:val="0"/>
              <w:keepLines w:val="0"/>
              <w:pageBreakBefore w:val="0"/>
              <w:kinsoku/>
              <w:wordWrap/>
              <w:overflowPunct/>
              <w:topLinePunct w:val="0"/>
              <w:autoSpaceDE/>
              <w:autoSpaceDN/>
              <w:bidi w:val="0"/>
              <w:spacing w:after="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auto"/>
                <w:sz w:val="32"/>
                <w:szCs w:val="32"/>
              </w:rPr>
              <w:t>抗洪抢险专业救援队</w:t>
            </w:r>
            <w:r>
              <w:rPr>
                <w:rFonts w:hint="eastAsia" w:eastAsia="方正仿宋_GBK"/>
                <w:color w:val="auto"/>
                <w:sz w:val="32"/>
                <w:szCs w:val="32"/>
                <w:lang w:val="en-US" w:eastAsia="zh-CN"/>
              </w:rPr>
              <w:t>8</w:t>
            </w:r>
            <w:r>
              <w:rPr>
                <w:rFonts w:hint="eastAsia" w:ascii="Times New Roman" w:hAnsi="Times New Roman" w:eastAsia="方正仿宋_GBK"/>
                <w:color w:val="auto"/>
                <w:sz w:val="32"/>
                <w:szCs w:val="32"/>
              </w:rPr>
              <w:t>支、高空专业救援队</w:t>
            </w:r>
            <w:r>
              <w:rPr>
                <w:rFonts w:ascii="Times New Roman" w:hAnsi="Times New Roman" w:eastAsia="方正仿宋_GBK"/>
                <w:color w:val="auto"/>
                <w:sz w:val="32"/>
                <w:szCs w:val="32"/>
              </w:rPr>
              <w:t>1</w:t>
            </w:r>
            <w:r>
              <w:rPr>
                <w:rFonts w:hint="eastAsia" w:ascii="Times New Roman" w:hAnsi="Times New Roman" w:eastAsia="方正仿宋_GBK"/>
                <w:color w:val="auto"/>
                <w:sz w:val="32"/>
                <w:szCs w:val="32"/>
              </w:rPr>
              <w:t>支、地震专业救援队</w:t>
            </w:r>
            <w:r>
              <w:rPr>
                <w:rFonts w:ascii="Times New Roman" w:hAnsi="Times New Roman" w:eastAsia="方正仿宋_GBK"/>
                <w:color w:val="auto"/>
                <w:sz w:val="32"/>
                <w:szCs w:val="32"/>
              </w:rPr>
              <w:t>1</w:t>
            </w:r>
            <w:r>
              <w:rPr>
                <w:rFonts w:hint="eastAsia" w:ascii="Times New Roman" w:hAnsi="Times New Roman" w:eastAsia="方正仿宋_GBK"/>
                <w:color w:val="auto"/>
                <w:sz w:val="32"/>
                <w:szCs w:val="32"/>
              </w:rPr>
              <w:t>支、大跨度大空间场所专业救援队</w:t>
            </w:r>
            <w:r>
              <w:rPr>
                <w:rFonts w:hint="eastAsia" w:eastAsia="方正仿宋_GBK"/>
                <w:color w:val="auto"/>
                <w:sz w:val="32"/>
                <w:szCs w:val="32"/>
                <w:lang w:val="en-US" w:eastAsia="zh-CN"/>
              </w:rPr>
              <w:t>1</w:t>
            </w:r>
            <w:r>
              <w:rPr>
                <w:rFonts w:hint="eastAsia" w:ascii="Times New Roman" w:hAnsi="Times New Roman" w:eastAsia="方正仿宋_GBK"/>
                <w:color w:val="auto"/>
                <w:sz w:val="32"/>
                <w:szCs w:val="32"/>
              </w:rPr>
              <w:t>支、石油化工专业队</w:t>
            </w:r>
            <w:r>
              <w:rPr>
                <w:rFonts w:hint="eastAsia" w:eastAsia="方正仿宋_GBK"/>
                <w:color w:val="auto"/>
                <w:sz w:val="32"/>
                <w:szCs w:val="32"/>
                <w:lang w:val="en-US" w:eastAsia="zh-CN"/>
              </w:rPr>
              <w:t>4</w:t>
            </w:r>
            <w:r>
              <w:rPr>
                <w:rFonts w:hint="eastAsia" w:ascii="Times New Roman" w:hAnsi="Times New Roman" w:eastAsia="方正仿宋_GBK"/>
                <w:color w:val="auto"/>
                <w:sz w:val="32"/>
                <w:szCs w:val="32"/>
              </w:rPr>
              <w:t>支、</w:t>
            </w:r>
            <w:r>
              <w:rPr>
                <w:rFonts w:hint="eastAsia" w:eastAsia="方正仿宋_GBK"/>
                <w:color w:val="auto"/>
                <w:sz w:val="32"/>
                <w:szCs w:val="32"/>
                <w:lang w:eastAsia="zh-CN"/>
              </w:rPr>
              <w:t>水域专业救援队</w:t>
            </w:r>
            <w:r>
              <w:rPr>
                <w:rFonts w:hint="eastAsia" w:eastAsia="方正仿宋_GBK"/>
                <w:color w:val="auto"/>
                <w:sz w:val="32"/>
                <w:szCs w:val="32"/>
                <w:lang w:val="en-US" w:eastAsia="zh-CN"/>
              </w:rPr>
              <w:t>1支</w:t>
            </w:r>
            <w:r>
              <w:rPr>
                <w:rFonts w:hint="eastAsia" w:ascii="Times New Roman" w:hAnsi="Times New Roman" w:eastAsia="方正仿宋_GBK"/>
                <w:color w:val="auto"/>
                <w:sz w:val="32"/>
                <w:szCs w:val="32"/>
              </w:rPr>
              <w:t>。</w:t>
            </w:r>
          </w:p>
        </w:tc>
      </w:tr>
    </w:tbl>
    <w:p>
      <w:pPr>
        <w:keepNext w:val="0"/>
        <w:keepLines w:val="0"/>
        <w:pageBreakBefore w:val="0"/>
        <w:numPr>
          <w:ilvl w:val="0"/>
          <w:numId w:val="0"/>
        </w:numPr>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ind w:firstLine="560" w:firstLineChars="200"/>
        <w:outlineLvl w:val="2"/>
        <w:rPr>
          <w:rFonts w:hint="eastAsia" w:ascii="方正仿宋_GBK" w:hAnsi="方正仿宋_GBK" w:eastAsia="方正仿宋_GBK" w:cs="方正仿宋_GBK"/>
          <w:b/>
          <w:bCs/>
          <w:spacing w:val="-20"/>
          <w:sz w:val="32"/>
          <w:szCs w:val="32"/>
          <w:lang w:val="en-US" w:eastAsia="zh-CN"/>
        </w:rPr>
      </w:pPr>
      <w:bookmarkStart w:id="27" w:name="_Toc11944"/>
      <w:r>
        <w:rPr>
          <w:rFonts w:hint="eastAsia" w:ascii="方正仿宋_GBK" w:hAnsi="方正仿宋_GBK" w:eastAsia="方正仿宋_GBK" w:cs="方正仿宋_GBK"/>
          <w:b/>
          <w:bCs/>
          <w:spacing w:val="-20"/>
          <w:sz w:val="32"/>
          <w:szCs w:val="32"/>
          <w:lang w:val="en-US" w:eastAsia="zh-CN"/>
        </w:rPr>
        <w:t>（四）加强消防装备建设</w:t>
      </w:r>
      <w:bookmarkEnd w:id="27"/>
      <w:r>
        <w:rPr>
          <w:rFonts w:hint="eastAsia" w:ascii="方正仿宋_GBK" w:hAnsi="方正仿宋_GBK" w:eastAsia="方正仿宋_GBK" w:cs="方正仿宋_GBK"/>
          <w:b/>
          <w:bCs/>
          <w:spacing w:val="-20"/>
          <w:sz w:val="32"/>
          <w:szCs w:val="32"/>
          <w:lang w:val="en-US" w:eastAsia="zh-CN"/>
        </w:rPr>
        <w:t xml:space="preserve"> </w:t>
      </w:r>
    </w:p>
    <w:p>
      <w:pPr>
        <w:keepNext w:val="0"/>
        <w:keepLines w:val="0"/>
        <w:pageBreakBefore w:val="0"/>
        <w:kinsoku/>
        <w:wordWrap/>
        <w:overflowPunct/>
        <w:topLinePunct w:val="0"/>
        <w:autoSpaceDE/>
        <w:autoSpaceDN/>
        <w:bidi w:val="0"/>
        <w:spacing w:line="600" w:lineRule="exact"/>
        <w:ind w:firstLine="560" w:firstLineChars="200"/>
        <w:rPr>
          <w:rFonts w:hint="eastAsia"/>
          <w:lang w:val="en-US" w:eastAsia="zh-CN"/>
        </w:rPr>
      </w:pPr>
      <w:r>
        <w:rPr>
          <w:rFonts w:hint="eastAsia" w:ascii="方正仿宋_GBK" w:hAnsi="方正仿宋_GBK" w:eastAsia="方正仿宋_GBK" w:cs="方正仿宋_GBK"/>
          <w:spacing w:val="-20"/>
          <w:sz w:val="32"/>
          <w:szCs w:val="32"/>
          <w:lang w:val="en-US" w:eastAsia="zh-CN"/>
        </w:rPr>
        <w:t>按照“立足实战、弥补短板、注重质量、提升效能”的原则，加强应对高层建筑、地下工程、石油化工、城市大型综合体、洪涝、地震、雨雪冰冻等特殊灾害的特种消防车辆和装备配备。2021年底前，全面提升消防员个人防护装备水平，按照《城市消防站建设标准》，特勤消防站按不少于45人的标准配备，普通消防站按本单位人员编制数的标准配备。购置一台56米大跨距举高喷射消防车。2023年底前，全市各消防站配齐水罐消防车、泡沫消防车、抢险救援消防车、登高平台消防车、云梯消防车、举高喷射消防车等6种消防车车型，主城区消防站城市主战消防车配比率达到100%，全市配置3台多功能灭火机器人。建立全市装备专家库，完成全市装备评估论证。2025年底前，按照区域作战划分，完成高层建筑、地下工程、大型综合体、石油化工火灾扑救专业队装备配备任务。</w:t>
      </w:r>
    </w:p>
    <w:p>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lang w:eastAsia="zh-CN"/>
        </w:rPr>
      </w:pPr>
      <w:bookmarkStart w:id="28" w:name="_Toc9191"/>
    </w:p>
    <w:p>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rPr>
      </w:pPr>
      <w:r>
        <w:rPr>
          <w:rFonts w:hint="eastAsia" w:ascii="方正楷体_GBK" w:hAnsi="方正楷体_GBK" w:eastAsia="方正楷体_GBK" w:cs="方正楷体_GBK"/>
          <w:b/>
          <w:bCs/>
          <w:spacing w:val="-20"/>
          <w:sz w:val="32"/>
          <w:szCs w:val="32"/>
          <w:lang w:eastAsia="zh-CN"/>
        </w:rPr>
        <w:t>三</w:t>
      </w:r>
      <w:r>
        <w:rPr>
          <w:rFonts w:hint="eastAsia" w:ascii="方正楷体_GBK" w:hAnsi="方正楷体_GBK" w:eastAsia="方正楷体_GBK" w:cs="方正楷体_GBK"/>
          <w:b/>
          <w:bCs/>
          <w:spacing w:val="-20"/>
          <w:sz w:val="32"/>
          <w:szCs w:val="32"/>
          <w:lang w:val="en-US" w:eastAsia="zh-CN"/>
        </w:rPr>
        <w:t>、</w:t>
      </w:r>
      <w:r>
        <w:rPr>
          <w:rFonts w:hint="eastAsia" w:ascii="方正楷体_GBK" w:hAnsi="方正楷体_GBK" w:eastAsia="方正楷体_GBK" w:cs="方正楷体_GBK"/>
          <w:b/>
          <w:bCs/>
          <w:spacing w:val="-20"/>
          <w:sz w:val="32"/>
          <w:szCs w:val="32"/>
        </w:rPr>
        <w:t>全面提升火灾防控治理能力</w:t>
      </w:r>
      <w:bookmarkEnd w:id="28"/>
    </w:p>
    <w:p>
      <w:pPr>
        <w:keepNext w:val="0"/>
        <w:keepLines w:val="0"/>
        <w:pageBreakBefore w:val="0"/>
        <w:kinsoku/>
        <w:wordWrap/>
        <w:overflowPunct/>
        <w:topLinePunct w:val="0"/>
        <w:autoSpaceDE/>
        <w:autoSpaceDN/>
        <w:bidi w:val="0"/>
        <w:adjustRightInd w:val="0"/>
        <w:snapToGrid w:val="0"/>
        <w:spacing w:line="600" w:lineRule="exact"/>
        <w:ind w:firstLine="560" w:firstLineChars="200"/>
        <w:outlineLvl w:val="2"/>
        <w:rPr>
          <w:rFonts w:hint="eastAsia" w:ascii="方正仿宋_GBK" w:hAnsi="方正仿宋_GBK" w:eastAsia="方正仿宋_GBK" w:cs="方正仿宋_GBK"/>
          <w:b/>
          <w:bCs/>
          <w:spacing w:val="-20"/>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ind w:firstLine="560" w:firstLineChars="200"/>
        <w:outlineLvl w:val="2"/>
        <w:rPr>
          <w:rFonts w:hint="eastAsia" w:ascii="方正仿宋_GBK" w:hAnsi="方正仿宋_GBK" w:eastAsia="方正仿宋_GBK" w:cs="方正仿宋_GBK"/>
          <w:b/>
          <w:bCs/>
          <w:spacing w:val="-20"/>
          <w:sz w:val="32"/>
          <w:szCs w:val="32"/>
          <w:lang w:val="en-US" w:eastAsia="zh-CN"/>
        </w:rPr>
      </w:pPr>
      <w:bookmarkStart w:id="29" w:name="_Toc339"/>
      <w:r>
        <w:rPr>
          <w:rFonts w:hint="eastAsia" w:ascii="方正仿宋_GBK" w:hAnsi="方正仿宋_GBK" w:eastAsia="方正仿宋_GBK" w:cs="方正仿宋_GBK"/>
          <w:b/>
          <w:bCs/>
          <w:spacing w:val="-20"/>
          <w:sz w:val="32"/>
          <w:szCs w:val="32"/>
          <w:lang w:val="en-US" w:eastAsia="zh-CN"/>
        </w:rPr>
        <w:t>（一）强化消防综合治理</w:t>
      </w:r>
      <w:bookmarkEnd w:id="29"/>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各级政府将老旧居民楼消防设施改造、消防车通道整治、火灾隐患集中区域治理等重大消防安全问题纳入政府民生工程，由各地政府统筹安排、逐年推进解决。2022年底前基本解决占用、堵塞消防车通道问题。根据本地区火灾发生特点，综合运用常态监督、网格排查、专项治理等手段，对煤化工、易燃易爆、大型城市综合体、高层和地下公共建筑、学校、医院、社会福利机构、文博、老旧场所、易地扶贫搬迁安置点等火灾高风险领域开展专项整治；持续开展电动车、电气、生命通道、消防产品、储能电站、新材料新业态等突出隐患治理。健全完善重大火灾隐患、区域性火灾隐患分级挂牌督办、跟踪治理机制，每年挂牌整改一批重大火灾隐患。加强对生产、销售、使用领域消防产品的监督管理，严厉查处制售假冒伪劣消防产品行为。教育、民政、文旅、卫健、文物、商务等重点行业部门，组织对学校及幼儿园、养老服务机构、文化娱乐场所、宾馆饭店、商场市场、旅游景区、医疗卫生机构、宗教活动场所、文物建筑和博物馆等行业单位定期集中开展消防安全排查整治，及时消除火灾隐患。</w:t>
      </w:r>
    </w:p>
    <w:p>
      <w:pPr>
        <w:keepNext w:val="0"/>
        <w:keepLines w:val="0"/>
        <w:pageBreakBefore w:val="0"/>
        <w:kinsoku/>
        <w:wordWrap/>
        <w:overflowPunct/>
        <w:topLinePunct w:val="0"/>
        <w:autoSpaceDE/>
        <w:autoSpaceDN/>
        <w:bidi w:val="0"/>
        <w:adjustRightInd w:val="0"/>
        <w:snapToGrid w:val="0"/>
        <w:spacing w:line="600" w:lineRule="exact"/>
        <w:ind w:firstLine="560" w:firstLineChars="200"/>
        <w:outlineLvl w:val="2"/>
        <w:rPr>
          <w:rFonts w:hint="eastAsia" w:ascii="方正仿宋_GBK" w:hAnsi="方正仿宋_GBK" w:eastAsia="方正仿宋_GBK" w:cs="方正仿宋_GBK"/>
          <w:b/>
          <w:bCs/>
          <w:spacing w:val="-20"/>
          <w:sz w:val="32"/>
          <w:szCs w:val="32"/>
          <w:lang w:val="en-US" w:eastAsia="zh-CN"/>
        </w:rPr>
      </w:pPr>
      <w:bookmarkStart w:id="30" w:name="_Toc9539"/>
      <w:r>
        <w:rPr>
          <w:rFonts w:hint="eastAsia" w:ascii="方正仿宋_GBK" w:hAnsi="方正仿宋_GBK" w:eastAsia="方正仿宋_GBK" w:cs="方正仿宋_GBK"/>
          <w:b/>
          <w:bCs/>
          <w:spacing w:val="-20"/>
          <w:sz w:val="32"/>
          <w:szCs w:val="32"/>
          <w:lang w:val="en-US" w:eastAsia="zh-CN"/>
        </w:rPr>
        <w:t>（二）创新消防安全管理</w:t>
      </w:r>
      <w:bookmarkEnd w:id="30"/>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推进消防安全诚信体系建设，开展消防安全重点单位及社会消防技术服务机构诚信等级评定，奖惩并进，按照相关法律合理将诚信状况与项目审批、贷款、保险等挂钩。加强对消防技术服务活动的监督管理，重点打击弄虚作假等违法经营行为，推动建立公平竞争的消防技术服务市场秩序。发展壮大注册消防工程师队伍，规范注册消防工程师执业行为。鼓励支持社会单位、消防机构采用先进科学技术，不断提高火灾防控水平。建立消防设施操作员持证管理体系，推进全市消防控制室人员持证上岗。依托河套学院、职业学校开展消防培训，为市场提供充足消防专业人才。根据试点地区工作经验，完善本市消防救援站开展防火工作机制。</w:t>
      </w:r>
    </w:p>
    <w:p>
      <w:pPr>
        <w:keepNext w:val="0"/>
        <w:keepLines w:val="0"/>
        <w:pageBreakBefore w:val="0"/>
        <w:kinsoku/>
        <w:wordWrap/>
        <w:overflowPunct/>
        <w:topLinePunct w:val="0"/>
        <w:autoSpaceDE/>
        <w:autoSpaceDN/>
        <w:bidi w:val="0"/>
        <w:adjustRightInd w:val="0"/>
        <w:snapToGrid w:val="0"/>
        <w:spacing w:line="600" w:lineRule="exact"/>
        <w:ind w:firstLine="560" w:firstLineChars="200"/>
        <w:outlineLvl w:val="2"/>
        <w:rPr>
          <w:rFonts w:hint="eastAsia" w:ascii="方正仿宋_GBK" w:hAnsi="方正仿宋_GBK" w:eastAsia="方正仿宋_GBK" w:cs="方正仿宋_GBK"/>
          <w:b/>
          <w:bCs/>
          <w:spacing w:val="-20"/>
          <w:sz w:val="32"/>
          <w:szCs w:val="32"/>
          <w:lang w:val="en-US" w:eastAsia="zh-CN"/>
        </w:rPr>
      </w:pPr>
      <w:bookmarkStart w:id="31" w:name="_Toc27078"/>
      <w:r>
        <w:rPr>
          <w:rFonts w:hint="eastAsia" w:ascii="方正仿宋_GBK" w:hAnsi="方正仿宋_GBK" w:eastAsia="方正仿宋_GBK" w:cs="方正仿宋_GBK"/>
          <w:b/>
          <w:bCs/>
          <w:spacing w:val="-20"/>
          <w:sz w:val="32"/>
          <w:szCs w:val="32"/>
          <w:lang w:val="en-US" w:eastAsia="zh-CN"/>
        </w:rPr>
        <w:t>（三）推动社会群防群治</w:t>
      </w:r>
      <w:bookmarkEnd w:id="31"/>
    </w:p>
    <w:p>
      <w:pPr>
        <w:keepNext w:val="0"/>
        <w:keepLines w:val="0"/>
        <w:pageBreakBefore w:val="0"/>
        <w:kinsoku/>
        <w:wordWrap/>
        <w:overflowPunct/>
        <w:topLinePunct w:val="0"/>
        <w:autoSpaceDE/>
        <w:autoSpaceDN/>
        <w:bidi w:val="0"/>
        <w:spacing w:line="600" w:lineRule="exact"/>
        <w:ind w:firstLine="560" w:firstLineChars="200"/>
        <w:rPr>
          <w:rFonts w:hint="default"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健全乡镇苏木、街道、社区、村（居）委会等基层组织消防机构，明确消防安全责任人和专（兼）职消防管理员。建立完善消防志愿者招募制度，及消防工作奖惩制度。发挥公安派出所基层工</w:t>
      </w:r>
      <w:r>
        <w:rPr>
          <w:rFonts w:hint="eastAsia" w:ascii="方正仿宋_GBK" w:hAnsi="方正仿宋_GBK" w:eastAsia="方正仿宋_GBK" w:cs="方正仿宋_GBK"/>
          <w:spacing w:val="-20"/>
          <w:sz w:val="32"/>
          <w:szCs w:val="32"/>
          <w:lang w:val="en-US" w:eastAsia="zh-CN"/>
        </w:rPr>
        <w:t>作优势，开展消防监督检查、宣传教育。加强分行业、分区域的社会消防联防联控，建立社会单位消防工作区域联防组织，定期研究部署、交流探讨、互检互查。建立完善家庭火灾隐患治理体系，街道、社区工作人员和消防志愿者入户上门解决居民消防难题，减少居民住宅火灾发生。壮大</w:t>
      </w:r>
      <w:r>
        <w:rPr>
          <w:rFonts w:hint="default" w:ascii="方正仿宋_GBK" w:hAnsi="方正仿宋_GBK" w:eastAsia="方正仿宋_GBK" w:cs="方正仿宋_GBK"/>
          <w:spacing w:val="-20"/>
          <w:sz w:val="32"/>
          <w:szCs w:val="32"/>
          <w:lang w:val="en-US" w:eastAsia="zh-CN"/>
        </w:rPr>
        <w:t>消防志愿者队伍，拓宽志愿者参与社会治理的渠道，提高群众的消防安全意识。</w:t>
      </w:r>
    </w:p>
    <w:p>
      <w:pPr>
        <w:keepNext w:val="0"/>
        <w:keepLines w:val="0"/>
        <w:pageBreakBefore w:val="0"/>
        <w:kinsoku/>
        <w:wordWrap/>
        <w:overflowPunct/>
        <w:topLinePunct w:val="0"/>
        <w:autoSpaceDE/>
        <w:autoSpaceDN/>
        <w:bidi w:val="0"/>
        <w:adjustRightInd w:val="0"/>
        <w:snapToGrid w:val="0"/>
        <w:spacing w:line="600" w:lineRule="exact"/>
        <w:ind w:firstLine="560" w:firstLineChars="200"/>
        <w:outlineLvl w:val="2"/>
        <w:rPr>
          <w:rFonts w:hint="eastAsia" w:ascii="方正仿宋_GBK" w:hAnsi="方正仿宋_GBK" w:eastAsia="方正仿宋_GBK" w:cs="方正仿宋_GBK"/>
          <w:b/>
          <w:bCs/>
          <w:spacing w:val="-20"/>
          <w:sz w:val="32"/>
          <w:szCs w:val="32"/>
          <w:lang w:val="en-US" w:eastAsia="zh-CN"/>
        </w:rPr>
      </w:pPr>
      <w:bookmarkStart w:id="32" w:name="_Toc7286"/>
      <w:r>
        <w:rPr>
          <w:rFonts w:hint="eastAsia" w:ascii="方正仿宋_GBK" w:hAnsi="方正仿宋_GBK" w:eastAsia="方正仿宋_GBK" w:cs="方正仿宋_GBK"/>
          <w:b/>
          <w:bCs/>
          <w:spacing w:val="-20"/>
          <w:sz w:val="32"/>
          <w:szCs w:val="32"/>
          <w:lang w:val="en-US" w:eastAsia="zh-CN"/>
        </w:rPr>
        <w:t>（四）深化消防执法改革</w:t>
      </w:r>
      <w:bookmarkEnd w:id="32"/>
    </w:p>
    <w:p>
      <w:pPr>
        <w:keepNext w:val="0"/>
        <w:keepLines w:val="0"/>
        <w:pageBreakBefore w:val="0"/>
        <w:kinsoku/>
        <w:wordWrap/>
        <w:overflowPunct/>
        <w:topLinePunct w:val="0"/>
        <w:autoSpaceDE/>
        <w:autoSpaceDN/>
        <w:bidi w:val="0"/>
        <w:spacing w:line="600" w:lineRule="exact"/>
        <w:ind w:firstLine="560" w:firstLineChars="200"/>
        <w:rPr>
          <w:rFonts w:hint="default"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rPr>
        <w:t>结合当地消防安全形势，不断优化“双随机、一公开”监管模式，逐步实现安全自查、隐患自除、责任自负。加强检查结果运用效能，对检查发现的违法违规行为，依法依规严肃查处并纳入信用记录</w:t>
      </w:r>
      <w:r>
        <w:rPr>
          <w:rFonts w:hint="eastAsia" w:ascii="方正仿宋_GBK" w:hAnsi="方正仿宋_GBK" w:eastAsia="方正仿宋_GBK" w:cs="方正仿宋_GBK"/>
          <w:spacing w:val="-20"/>
          <w:sz w:val="32"/>
          <w:szCs w:val="32"/>
          <w:lang w:eastAsia="zh-CN"/>
        </w:rPr>
        <w:t>。全面实行</w:t>
      </w:r>
      <w:r>
        <w:rPr>
          <w:rFonts w:hint="eastAsia" w:ascii="方正仿宋_GBK" w:hAnsi="方正仿宋_GBK" w:eastAsia="方正仿宋_GBK" w:cs="方正仿宋_GBK"/>
          <w:spacing w:val="-20"/>
          <w:sz w:val="32"/>
          <w:szCs w:val="32"/>
        </w:rPr>
        <w:t>开业前检查“承诺制”办理方式，用好“消防检查预约</w:t>
      </w:r>
      <w:r>
        <w:rPr>
          <w:rFonts w:hint="eastAsia" w:ascii="方正仿宋_GBK" w:hAnsi="方正仿宋_GBK" w:eastAsia="方正仿宋_GBK" w:cs="方正仿宋_GBK"/>
          <w:spacing w:val="-20"/>
          <w:sz w:val="32"/>
          <w:szCs w:val="32"/>
          <w:lang w:eastAsia="zh-CN"/>
        </w:rPr>
        <w:t>平台</w:t>
      </w:r>
      <w:r>
        <w:rPr>
          <w:rFonts w:hint="eastAsia" w:ascii="方正仿宋_GBK" w:hAnsi="方正仿宋_GBK" w:eastAsia="方正仿宋_GBK" w:cs="方正仿宋_GBK"/>
          <w:spacing w:val="-20"/>
          <w:sz w:val="32"/>
          <w:szCs w:val="32"/>
        </w:rPr>
        <w:t>”</w:t>
      </w:r>
      <w:r>
        <w:rPr>
          <w:rFonts w:hint="eastAsia" w:ascii="方正仿宋_GBK" w:hAnsi="方正仿宋_GBK" w:eastAsia="方正仿宋_GBK" w:cs="方正仿宋_GBK"/>
          <w:spacing w:val="-20"/>
          <w:sz w:val="32"/>
          <w:szCs w:val="32"/>
          <w:lang w:eastAsia="zh-CN"/>
        </w:rPr>
        <w:t>、“轻微火灾登记”等便民措施，</w:t>
      </w:r>
      <w:r>
        <w:rPr>
          <w:rFonts w:hint="eastAsia" w:ascii="方正仿宋_GBK" w:hAnsi="方正仿宋_GBK" w:eastAsia="方正仿宋_GBK" w:cs="方正仿宋_GBK"/>
          <w:spacing w:val="-20"/>
          <w:sz w:val="32"/>
          <w:szCs w:val="32"/>
        </w:rPr>
        <w:t>实行容缺后补、绿色通道、邮政或快递送达等便利化措施</w:t>
      </w:r>
      <w:r>
        <w:rPr>
          <w:rFonts w:hint="eastAsia" w:ascii="方正仿宋_GBK" w:hAnsi="方正仿宋_GBK" w:eastAsia="方正仿宋_GBK" w:cs="方正仿宋_GBK"/>
          <w:spacing w:val="-20"/>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rPr>
      </w:pPr>
      <w:bookmarkStart w:id="33" w:name="_Toc4140"/>
      <w:r>
        <w:rPr>
          <w:rFonts w:hint="eastAsia" w:ascii="方正楷体_GBK" w:hAnsi="方正楷体_GBK" w:eastAsia="方正楷体_GBK" w:cs="方正楷体_GBK"/>
          <w:b/>
          <w:bCs/>
          <w:spacing w:val="-20"/>
          <w:sz w:val="32"/>
          <w:szCs w:val="32"/>
          <w:lang w:eastAsia="zh-CN"/>
        </w:rPr>
        <w:t>四</w:t>
      </w:r>
      <w:r>
        <w:rPr>
          <w:rFonts w:hint="eastAsia" w:ascii="方正楷体_GBK" w:hAnsi="方正楷体_GBK" w:eastAsia="方正楷体_GBK" w:cs="方正楷体_GBK"/>
          <w:b/>
          <w:bCs/>
          <w:spacing w:val="-20"/>
          <w:sz w:val="32"/>
          <w:szCs w:val="32"/>
          <w:lang w:val="en-US" w:eastAsia="zh-CN"/>
        </w:rPr>
        <w:t>、</w:t>
      </w:r>
      <w:r>
        <w:rPr>
          <w:rFonts w:hint="eastAsia" w:ascii="方正楷体_GBK" w:hAnsi="方正楷体_GBK" w:eastAsia="方正楷体_GBK" w:cs="方正楷体_GBK"/>
          <w:b/>
          <w:bCs/>
          <w:spacing w:val="-20"/>
          <w:sz w:val="32"/>
          <w:szCs w:val="32"/>
        </w:rPr>
        <w:t>加强农村牧区消防工作</w:t>
      </w:r>
      <w:bookmarkEnd w:id="33"/>
    </w:p>
    <w:p>
      <w:pPr>
        <w:keepNext w:val="0"/>
        <w:keepLines w:val="0"/>
        <w:pageBreakBefore w:val="0"/>
        <w:kinsoku/>
        <w:wordWrap/>
        <w:overflowPunct/>
        <w:topLinePunct w:val="0"/>
        <w:autoSpaceDE/>
        <w:autoSpaceDN/>
        <w:bidi w:val="0"/>
        <w:adjustRightInd w:val="0"/>
        <w:snapToGrid w:val="0"/>
        <w:spacing w:line="600" w:lineRule="exact"/>
        <w:ind w:firstLine="560" w:firstLineChars="200"/>
        <w:outlineLvl w:val="2"/>
        <w:rPr>
          <w:rFonts w:hint="eastAsia" w:ascii="方正仿宋_GBK" w:hAnsi="方正仿宋_GBK" w:eastAsia="方正仿宋_GBK" w:cs="方正仿宋_GBK"/>
          <w:b/>
          <w:bCs/>
          <w:spacing w:val="-20"/>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ind w:firstLine="560" w:firstLineChars="200"/>
        <w:outlineLvl w:val="2"/>
        <w:rPr>
          <w:rFonts w:hint="eastAsia" w:ascii="方正仿宋_GBK" w:hAnsi="方正仿宋_GBK" w:eastAsia="方正仿宋_GBK" w:cs="方正仿宋_GBK"/>
          <w:b/>
          <w:bCs/>
          <w:spacing w:val="-20"/>
          <w:sz w:val="32"/>
          <w:szCs w:val="32"/>
          <w:lang w:val="en-US" w:eastAsia="zh-CN"/>
        </w:rPr>
      </w:pPr>
      <w:bookmarkStart w:id="34" w:name="_Toc11367"/>
      <w:r>
        <w:rPr>
          <w:rFonts w:hint="eastAsia" w:ascii="方正仿宋_GBK" w:hAnsi="方正仿宋_GBK" w:eastAsia="方正仿宋_GBK" w:cs="方正仿宋_GBK"/>
          <w:b/>
          <w:bCs/>
          <w:spacing w:val="-20"/>
          <w:sz w:val="32"/>
          <w:szCs w:val="32"/>
          <w:lang w:val="en-US" w:eastAsia="zh-CN"/>
        </w:rPr>
        <w:t>（一）构建农村牧区消防治理保障体系</w:t>
      </w:r>
      <w:bookmarkEnd w:id="34"/>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default" w:ascii="方正仿宋_GBK" w:hAnsi="方正仿宋_GBK" w:eastAsia="方正仿宋_GBK" w:cs="方正仿宋_GBK"/>
          <w:b w:val="0"/>
          <w:bCs w:val="0"/>
          <w:spacing w:val="-20"/>
          <w:sz w:val="32"/>
          <w:szCs w:val="32"/>
          <w:lang w:val="en-US" w:eastAsia="zh-CN"/>
        </w:rPr>
        <w:t>制定出台《巴彦淖尔市农村消防工作实施意见》，</w:t>
      </w:r>
      <w:r>
        <w:rPr>
          <w:rFonts w:hint="eastAsia" w:ascii="方正仿宋_GBK" w:hAnsi="方正仿宋_GBK" w:eastAsia="方正仿宋_GBK" w:cs="方正仿宋_GBK"/>
          <w:b w:val="0"/>
          <w:bCs w:val="0"/>
          <w:spacing w:val="-20"/>
          <w:sz w:val="32"/>
          <w:szCs w:val="32"/>
          <w:lang w:val="en-US" w:eastAsia="zh-CN"/>
        </w:rPr>
        <w:t>深化“河套119”防控体系建设，建立农村牧区消防工作领导体制和运行机制，健全农村牧区消防组织和队伍建设，结合自治区乡村振兴战略和巴彦淖尔市绿色崛起要求</w:t>
      </w:r>
      <w:r>
        <w:rPr>
          <w:rFonts w:hint="eastAsia" w:ascii="方正仿宋_GBK" w:hAnsi="方正仿宋_GBK" w:eastAsia="方正仿宋_GBK" w:cs="方正仿宋_GBK"/>
          <w:b w:val="0"/>
          <w:bCs w:val="0"/>
          <w:color w:val="auto"/>
          <w:spacing w:val="-20"/>
          <w:sz w:val="32"/>
          <w:szCs w:val="32"/>
          <w:lang w:val="en-US" w:eastAsia="zh-CN"/>
        </w:rPr>
        <w:t>，研究制定农村地区消防工作地方性规章。将农村牧区消防安全建设同步纳入农村牧区基本公共服务重点工程一体化部署落实。2024年</w:t>
      </w:r>
      <w:r>
        <w:rPr>
          <w:rFonts w:hint="eastAsia" w:ascii="方正仿宋_GBK" w:hAnsi="方正仿宋_GBK" w:eastAsia="方正仿宋_GBK" w:cs="方正仿宋_GBK"/>
          <w:b w:val="0"/>
          <w:bCs w:val="0"/>
          <w:color w:val="auto"/>
          <w:spacing w:val="-20"/>
          <w:sz w:val="32"/>
          <w:szCs w:val="32"/>
        </w:rPr>
        <w:t>出台《农村消防</w:t>
      </w:r>
      <w:r>
        <w:rPr>
          <w:rFonts w:hint="eastAsia" w:ascii="方正仿宋_GBK" w:hAnsi="方正仿宋_GBK" w:eastAsia="方正仿宋_GBK" w:cs="方正仿宋_GBK"/>
          <w:b w:val="0"/>
          <w:bCs w:val="0"/>
          <w:color w:val="auto"/>
          <w:spacing w:val="-20"/>
          <w:sz w:val="32"/>
          <w:szCs w:val="32"/>
          <w:lang w:eastAsia="zh-CN"/>
        </w:rPr>
        <w:t>工作</w:t>
      </w:r>
      <w:r>
        <w:rPr>
          <w:rFonts w:hint="eastAsia" w:ascii="方正仿宋_GBK" w:hAnsi="方正仿宋_GBK" w:eastAsia="方正仿宋_GBK" w:cs="方正仿宋_GBK"/>
          <w:b w:val="0"/>
          <w:bCs w:val="0"/>
          <w:color w:val="auto"/>
          <w:spacing w:val="-20"/>
          <w:sz w:val="32"/>
          <w:szCs w:val="32"/>
        </w:rPr>
        <w:t>绩效</w:t>
      </w:r>
      <w:r>
        <w:rPr>
          <w:rFonts w:hint="eastAsia" w:ascii="方正仿宋_GBK" w:hAnsi="方正仿宋_GBK" w:eastAsia="方正仿宋_GBK" w:cs="方正仿宋_GBK"/>
          <w:b w:val="0"/>
          <w:bCs w:val="0"/>
          <w:color w:val="auto"/>
          <w:spacing w:val="-20"/>
          <w:sz w:val="32"/>
          <w:szCs w:val="32"/>
          <w:lang w:eastAsia="zh-CN"/>
        </w:rPr>
        <w:t>考评</w:t>
      </w:r>
      <w:r>
        <w:rPr>
          <w:rFonts w:hint="eastAsia" w:ascii="方正仿宋_GBK" w:hAnsi="方正仿宋_GBK" w:eastAsia="方正仿宋_GBK" w:cs="方正仿宋_GBK"/>
          <w:b w:val="0"/>
          <w:bCs w:val="0"/>
          <w:color w:val="auto"/>
          <w:spacing w:val="-20"/>
          <w:sz w:val="32"/>
          <w:szCs w:val="32"/>
        </w:rPr>
        <w:t>办法》，列入各级政府考核内容并定时进行督导。</w:t>
      </w:r>
      <w:r>
        <w:rPr>
          <w:rFonts w:hint="eastAsia" w:ascii="方正仿宋_GBK" w:hAnsi="方正仿宋_GBK" w:eastAsia="方正仿宋_GBK" w:cs="方正仿宋_GBK"/>
          <w:color w:val="auto"/>
          <w:spacing w:val="-20"/>
          <w:sz w:val="32"/>
          <w:szCs w:val="32"/>
        </w:rPr>
        <w:t>建立农村消防工作部门联动机制，发改、住建、公安、</w:t>
      </w:r>
      <w:r>
        <w:rPr>
          <w:rFonts w:hint="eastAsia" w:ascii="方正仿宋_GBK" w:hAnsi="方正仿宋_GBK" w:eastAsia="方正仿宋_GBK" w:cs="方正仿宋_GBK"/>
          <w:color w:val="auto"/>
          <w:spacing w:val="-20"/>
          <w:sz w:val="32"/>
          <w:szCs w:val="32"/>
          <w:lang w:eastAsia="zh-CN"/>
        </w:rPr>
        <w:t>农牧</w:t>
      </w:r>
      <w:r>
        <w:rPr>
          <w:rFonts w:hint="eastAsia" w:ascii="方正仿宋_GBK" w:hAnsi="方正仿宋_GBK" w:eastAsia="方正仿宋_GBK" w:cs="方正仿宋_GBK"/>
          <w:color w:val="auto"/>
          <w:spacing w:val="-20"/>
          <w:sz w:val="32"/>
          <w:szCs w:val="32"/>
        </w:rPr>
        <w:t>、</w:t>
      </w:r>
      <w:r>
        <w:rPr>
          <w:rFonts w:hint="eastAsia" w:ascii="方正仿宋_GBK" w:hAnsi="方正仿宋_GBK" w:eastAsia="方正仿宋_GBK" w:cs="方正仿宋_GBK"/>
          <w:color w:val="auto"/>
          <w:spacing w:val="-20"/>
          <w:sz w:val="32"/>
          <w:szCs w:val="32"/>
          <w:lang w:eastAsia="zh-CN"/>
        </w:rPr>
        <w:t>乡村振兴</w:t>
      </w:r>
      <w:r>
        <w:rPr>
          <w:rFonts w:hint="eastAsia" w:ascii="方正仿宋_GBK" w:hAnsi="方正仿宋_GBK" w:eastAsia="方正仿宋_GBK" w:cs="方正仿宋_GBK"/>
          <w:color w:val="auto"/>
          <w:spacing w:val="-20"/>
          <w:sz w:val="32"/>
          <w:szCs w:val="32"/>
        </w:rPr>
        <w:t>等部门要将农村消防工作纳入本系统重要议事日程</w:t>
      </w:r>
      <w:r>
        <w:rPr>
          <w:rFonts w:hint="eastAsia" w:ascii="方正仿宋_GBK" w:hAnsi="方正仿宋_GBK" w:eastAsia="方正仿宋_GBK" w:cs="方正仿宋_GBK"/>
          <w:color w:val="auto"/>
          <w:spacing w:val="-20"/>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560" w:firstLineChars="200"/>
        <w:outlineLvl w:val="2"/>
        <w:rPr>
          <w:rFonts w:hint="eastAsia" w:ascii="方正仿宋_GBK" w:hAnsi="方正仿宋_GBK" w:eastAsia="方正仿宋_GBK" w:cs="方正仿宋_GBK"/>
          <w:b/>
          <w:bCs/>
          <w:spacing w:val="-20"/>
          <w:sz w:val="32"/>
          <w:szCs w:val="32"/>
          <w:lang w:val="en-US" w:eastAsia="zh-CN"/>
        </w:rPr>
      </w:pPr>
      <w:bookmarkStart w:id="35" w:name="_Toc24979"/>
      <w:r>
        <w:rPr>
          <w:rFonts w:hint="eastAsia" w:ascii="方正仿宋_GBK" w:hAnsi="方正仿宋_GBK" w:eastAsia="方正仿宋_GBK" w:cs="方正仿宋_GBK"/>
          <w:b/>
          <w:bCs/>
          <w:spacing w:val="-20"/>
          <w:sz w:val="32"/>
          <w:szCs w:val="32"/>
          <w:lang w:val="en-US" w:eastAsia="zh-CN"/>
        </w:rPr>
        <w:t>（二）加大农村消防基础设施建设</w:t>
      </w:r>
      <w:bookmarkEnd w:id="35"/>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rPr>
      </w:pPr>
      <w:r>
        <w:rPr>
          <w:rFonts w:hint="eastAsia" w:ascii="方正仿宋_GBK" w:hAnsi="方正仿宋_GBK" w:eastAsia="方正仿宋_GBK" w:cs="方正仿宋_GBK"/>
          <w:spacing w:val="-20"/>
          <w:sz w:val="32"/>
          <w:szCs w:val="32"/>
          <w:lang w:val="en-US" w:eastAsia="zh-CN"/>
        </w:rPr>
        <w:t>加强乡镇苏木消防规划和消防基础设施建设，加快改造易燃建筑和建筑周边堆垛问题，大力改善消防安全环境。加大</w:t>
      </w:r>
      <w:r>
        <w:rPr>
          <w:rFonts w:hint="eastAsia" w:ascii="方正仿宋_GBK" w:hAnsi="方正仿宋_GBK" w:eastAsia="方正仿宋_GBK" w:cs="方正仿宋_GBK"/>
          <w:spacing w:val="-20"/>
          <w:sz w:val="32"/>
          <w:szCs w:val="32"/>
          <w:lang w:eastAsia="zh-CN"/>
        </w:rPr>
        <w:t>农村消防经费</w:t>
      </w:r>
      <w:r>
        <w:rPr>
          <w:rFonts w:hint="eastAsia" w:ascii="方正仿宋_GBK" w:hAnsi="方正仿宋_GBK" w:eastAsia="方正仿宋_GBK" w:cs="方正仿宋_GBK"/>
          <w:spacing w:val="-20"/>
          <w:sz w:val="32"/>
          <w:szCs w:val="32"/>
        </w:rPr>
        <w:t>，由乡镇政府投入专项资金，县（区）政府予以适当补贴</w:t>
      </w:r>
      <w:r>
        <w:rPr>
          <w:rFonts w:hint="eastAsia" w:ascii="方正仿宋_GBK" w:hAnsi="方正仿宋_GBK" w:eastAsia="方正仿宋_GBK" w:cs="方正仿宋_GBK"/>
          <w:spacing w:val="-20"/>
          <w:sz w:val="32"/>
          <w:szCs w:val="32"/>
          <w:lang w:eastAsia="zh-CN"/>
        </w:rPr>
        <w:t>。</w:t>
      </w:r>
      <w:r>
        <w:rPr>
          <w:rFonts w:hint="eastAsia" w:ascii="方正仿宋_GBK" w:hAnsi="方正仿宋_GBK" w:eastAsia="方正仿宋_GBK" w:cs="方正仿宋_GBK"/>
          <w:spacing w:val="-20"/>
          <w:sz w:val="32"/>
          <w:szCs w:val="32"/>
        </w:rPr>
        <w:t>加强政策保障，拓展资金来源。本着“谁受益、谁投资”的原则，制定优惠政策，调动社会各方面积极性，引导个人、集体和各种经济主体投资农村消防基础设施建设，鼓励捐助农村消防公益事业。</w:t>
      </w:r>
    </w:p>
    <w:p>
      <w:pPr>
        <w:keepNext w:val="0"/>
        <w:keepLines w:val="0"/>
        <w:pageBreakBefore w:val="0"/>
        <w:kinsoku/>
        <w:wordWrap/>
        <w:overflowPunct/>
        <w:topLinePunct w:val="0"/>
        <w:autoSpaceDE/>
        <w:autoSpaceDN/>
        <w:bidi w:val="0"/>
        <w:adjustRightInd w:val="0"/>
        <w:snapToGrid w:val="0"/>
        <w:spacing w:line="600" w:lineRule="exact"/>
        <w:ind w:firstLine="560" w:firstLineChars="200"/>
        <w:outlineLvl w:val="2"/>
        <w:rPr>
          <w:rFonts w:hint="eastAsia" w:ascii="方正仿宋_GBK" w:hAnsi="方正仿宋_GBK" w:eastAsia="方正仿宋_GBK" w:cs="方正仿宋_GBK"/>
          <w:b/>
          <w:bCs/>
          <w:spacing w:val="-20"/>
          <w:sz w:val="32"/>
          <w:szCs w:val="32"/>
          <w:lang w:val="en-US" w:eastAsia="zh-CN"/>
        </w:rPr>
      </w:pPr>
      <w:bookmarkStart w:id="36" w:name="_Toc5284"/>
      <w:r>
        <w:rPr>
          <w:rFonts w:hint="eastAsia" w:ascii="方正仿宋_GBK" w:hAnsi="方正仿宋_GBK" w:eastAsia="方正仿宋_GBK" w:cs="方正仿宋_GBK"/>
          <w:b/>
          <w:bCs/>
          <w:spacing w:val="-20"/>
          <w:sz w:val="32"/>
          <w:szCs w:val="32"/>
          <w:lang w:val="en-US" w:eastAsia="zh-CN"/>
        </w:rPr>
        <w:t>（三）推进农村消防站建设</w:t>
      </w:r>
      <w:bookmarkEnd w:id="36"/>
    </w:p>
    <w:p>
      <w:pPr>
        <w:keepNext w:val="0"/>
        <w:keepLines w:val="0"/>
        <w:pageBreakBefore w:val="0"/>
        <w:kinsoku/>
        <w:wordWrap/>
        <w:overflowPunct/>
        <w:topLinePunct w:val="0"/>
        <w:autoSpaceDE/>
        <w:autoSpaceDN/>
        <w:bidi w:val="0"/>
        <w:spacing w:line="600" w:lineRule="exact"/>
        <w:ind w:firstLine="560" w:firstLineChars="200"/>
        <w:rPr>
          <w:rFonts w:hint="eastAsia"/>
          <w:lang w:val="en-US" w:eastAsia="zh-CN"/>
        </w:rPr>
      </w:pPr>
      <w:r>
        <w:rPr>
          <w:rFonts w:hint="eastAsia" w:ascii="方正仿宋_GBK" w:hAnsi="方正仿宋_GBK" w:eastAsia="方正仿宋_GBK" w:cs="方正仿宋_GBK"/>
          <w:b w:val="0"/>
          <w:bCs w:val="0"/>
          <w:color w:val="auto"/>
          <w:spacing w:val="-20"/>
          <w:sz w:val="32"/>
          <w:szCs w:val="32"/>
          <w:lang w:val="en-US" w:eastAsia="zh-CN"/>
        </w:rPr>
        <w:t>进一步加强农村消防站建设，实现乡镇农村消防站覆盖率100%。</w:t>
      </w:r>
      <w:r>
        <w:rPr>
          <w:rFonts w:hint="eastAsia" w:ascii="方正仿宋_GBK" w:hAnsi="方正仿宋_GBK" w:eastAsia="方正仿宋_GBK" w:cs="方正仿宋_GBK"/>
          <w:b w:val="0"/>
          <w:bCs w:val="0"/>
          <w:spacing w:val="-20"/>
          <w:sz w:val="32"/>
          <w:szCs w:val="32"/>
          <w:lang w:val="en-US" w:eastAsia="zh-CN"/>
        </w:rPr>
        <w:t>修订《巴彦淖尔市农村消防站管理办法》，</w:t>
      </w:r>
      <w:r>
        <w:rPr>
          <w:rFonts w:hint="eastAsia" w:ascii="方正仿宋_GBK" w:hAnsi="方正仿宋_GBK" w:eastAsia="方正仿宋_GBK" w:cs="方正仿宋_GBK"/>
          <w:b w:val="0"/>
          <w:bCs w:val="0"/>
          <w:spacing w:val="-20"/>
          <w:sz w:val="32"/>
          <w:szCs w:val="32"/>
        </w:rPr>
        <w:t>理清归属关系、形成统一模式，每个农村消防站每年不低于1</w:t>
      </w:r>
      <w:r>
        <w:rPr>
          <w:rFonts w:hint="eastAsia" w:ascii="方正仿宋_GBK" w:hAnsi="方正仿宋_GBK" w:eastAsia="方正仿宋_GBK" w:cs="方正仿宋_GBK"/>
          <w:b w:val="0"/>
          <w:bCs w:val="0"/>
          <w:spacing w:val="-20"/>
          <w:sz w:val="32"/>
          <w:szCs w:val="32"/>
          <w:lang w:val="en-US" w:eastAsia="zh-CN"/>
        </w:rPr>
        <w:t>5</w:t>
      </w:r>
      <w:r>
        <w:rPr>
          <w:rFonts w:hint="eastAsia" w:ascii="方正仿宋_GBK" w:hAnsi="方正仿宋_GBK" w:eastAsia="方正仿宋_GBK" w:cs="方正仿宋_GBK"/>
          <w:b w:val="0"/>
          <w:bCs w:val="0"/>
          <w:spacing w:val="-20"/>
          <w:sz w:val="32"/>
          <w:szCs w:val="32"/>
        </w:rPr>
        <w:t>万元的业务经费列入财政预算，并按每年不低于10%增长，做到有组织、有制度、有设施、有队伍、有检查、有宣传，切实提升农村消防站的生命力、战斗力。</w:t>
      </w:r>
      <w:r>
        <w:rPr>
          <w:rFonts w:hint="eastAsia" w:ascii="方正仿宋_GBK" w:hAnsi="方正仿宋_GBK" w:eastAsia="方正仿宋_GBK" w:cs="方正仿宋_GBK"/>
          <w:b w:val="0"/>
          <w:bCs w:val="0"/>
          <w:spacing w:val="-20"/>
          <w:sz w:val="32"/>
          <w:szCs w:val="32"/>
          <w:lang w:val="en-US" w:eastAsia="zh-CN"/>
        </w:rPr>
        <w:t>2022年</w:t>
      </w:r>
      <w:r>
        <w:rPr>
          <w:rFonts w:hint="eastAsia" w:ascii="方正仿宋_GBK" w:hAnsi="方正仿宋_GBK" w:eastAsia="方正仿宋_GBK" w:cs="方正仿宋_GBK"/>
          <w:b w:val="0"/>
          <w:bCs w:val="0"/>
          <w:spacing w:val="-20"/>
          <w:sz w:val="32"/>
          <w:szCs w:val="32"/>
        </w:rPr>
        <w:t>制定《农村消防站标准化建设规定》，对营房建设、装备配置、执勤制度、业务培训、考评奖惩等方面，全面实行标准化建设。</w:t>
      </w:r>
      <w:r>
        <w:rPr>
          <w:rFonts w:hint="eastAsia" w:ascii="方正仿宋_GBK" w:hAnsi="方正仿宋_GBK" w:eastAsia="方正仿宋_GBK" w:cs="方正仿宋_GBK"/>
          <w:b w:val="0"/>
          <w:bCs w:val="0"/>
          <w:spacing w:val="-20"/>
          <w:sz w:val="32"/>
          <w:szCs w:val="32"/>
          <w:lang w:val="en-US" w:eastAsia="zh-CN"/>
        </w:rPr>
        <w:t>2023年</w:t>
      </w:r>
      <w:r>
        <w:rPr>
          <w:rFonts w:hint="eastAsia" w:ascii="方正仿宋_GBK" w:hAnsi="方正仿宋_GBK" w:eastAsia="方正仿宋_GBK" w:cs="方正仿宋_GBK"/>
          <w:b w:val="0"/>
          <w:bCs w:val="0"/>
          <w:spacing w:val="-20"/>
          <w:sz w:val="32"/>
          <w:szCs w:val="32"/>
        </w:rPr>
        <w:t>制定《农村消防站装备器材配备标准》，对“基本配置”和“推荐配置”进行明确，有条件的可配备山地消防车、钢筋速断器、细水雾灭火器等装备器材，增强其应急救援能力。</w:t>
      </w:r>
    </w:p>
    <w:p>
      <w:pPr>
        <w:keepNext w:val="0"/>
        <w:keepLines w:val="0"/>
        <w:pageBreakBefore w:val="0"/>
        <w:kinsoku/>
        <w:wordWrap/>
        <w:overflowPunct/>
        <w:topLinePunct w:val="0"/>
        <w:autoSpaceDE/>
        <w:autoSpaceDN/>
        <w:bidi w:val="0"/>
        <w:adjustRightInd w:val="0"/>
        <w:snapToGrid w:val="0"/>
        <w:spacing w:line="600" w:lineRule="exact"/>
        <w:ind w:firstLine="560" w:firstLineChars="200"/>
        <w:outlineLvl w:val="2"/>
        <w:rPr>
          <w:rFonts w:hint="eastAsia" w:ascii="方正仿宋_GBK" w:hAnsi="方正仿宋_GBK" w:eastAsia="方正仿宋_GBK" w:cs="方正仿宋_GBK"/>
          <w:b/>
          <w:bCs/>
          <w:spacing w:val="-20"/>
          <w:sz w:val="32"/>
          <w:szCs w:val="32"/>
          <w:lang w:val="en-US" w:eastAsia="zh-CN"/>
        </w:rPr>
      </w:pPr>
      <w:bookmarkStart w:id="37" w:name="_Toc29474"/>
      <w:r>
        <w:rPr>
          <w:rFonts w:hint="eastAsia" w:ascii="方正仿宋_GBK" w:hAnsi="方正仿宋_GBK" w:eastAsia="方正仿宋_GBK" w:cs="方正仿宋_GBK"/>
          <w:b/>
          <w:bCs/>
          <w:spacing w:val="-20"/>
          <w:sz w:val="32"/>
          <w:szCs w:val="32"/>
          <w:lang w:val="en-US" w:eastAsia="zh-CN"/>
        </w:rPr>
        <w:t>（四）有效减少农村火灾</w:t>
      </w:r>
      <w:bookmarkEnd w:id="37"/>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b w:val="0"/>
          <w:bCs w:val="0"/>
          <w:color w:val="FF0000"/>
          <w:spacing w:val="-20"/>
          <w:sz w:val="32"/>
          <w:szCs w:val="32"/>
          <w:lang w:val="en-US" w:eastAsia="zh-CN"/>
        </w:rPr>
      </w:pPr>
      <w:r>
        <w:rPr>
          <w:rFonts w:hint="eastAsia" w:ascii="方正仿宋_GBK" w:hAnsi="方正仿宋_GBK" w:eastAsia="方正仿宋_GBK" w:cs="方正仿宋_GBK"/>
          <w:b w:val="0"/>
          <w:bCs w:val="0"/>
          <w:spacing w:val="-20"/>
          <w:sz w:val="32"/>
          <w:szCs w:val="32"/>
          <w:lang w:val="en-US" w:eastAsia="zh-CN"/>
        </w:rPr>
        <w:t>根据农村生产生活实际情况和火灾特点，探索制定《巴彦淖尔市农村消防安全标准</w:t>
      </w:r>
      <w:r>
        <w:rPr>
          <w:rFonts w:hint="eastAsia" w:ascii="方正仿宋_GBK" w:hAnsi="方正仿宋_GBK" w:eastAsia="方正仿宋_GBK" w:cs="方正仿宋_GBK"/>
          <w:spacing w:val="-20"/>
          <w:sz w:val="32"/>
          <w:szCs w:val="32"/>
          <w:lang w:val="en-US" w:eastAsia="zh-CN"/>
        </w:rPr>
        <w:t>》；做好电气线路改造等工作，推广秸秆还田、青贮饲料转化技术和农村户用沼气等清洁能源，减少秸秆堆垛火灾发生，有效治理农村烧荒、焚烧秸秆等行为，实现2025年农村秸秆火灾占总数小于30%。</w:t>
      </w:r>
      <w:r>
        <w:rPr>
          <w:rFonts w:hint="eastAsia" w:ascii="方正仿宋_GBK" w:hAnsi="方正仿宋_GBK" w:eastAsia="方正仿宋_GBK" w:cs="方正仿宋_GBK"/>
          <w:b w:val="0"/>
          <w:bCs w:val="0"/>
          <w:spacing w:val="-20"/>
          <w:sz w:val="32"/>
          <w:szCs w:val="32"/>
          <w:lang w:val="en-US" w:eastAsia="zh-CN"/>
        </w:rPr>
        <w:t>引导保险公司开发适合农村的火灾公众责任保险，指导农村群众购买与房屋财产相对应的火灾保险，提高农牧民承受火灾损失的能力。设立专项农村火灾慈善基金，有效转移农村火灾风险。</w:t>
      </w:r>
    </w:p>
    <w:p>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lang w:eastAsia="zh-CN"/>
        </w:rPr>
      </w:pPr>
    </w:p>
    <w:p>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rPr>
      </w:pPr>
      <w:bookmarkStart w:id="38" w:name="_Toc25159"/>
      <w:r>
        <w:rPr>
          <w:rFonts w:hint="eastAsia" w:ascii="方正楷体_GBK" w:hAnsi="方正楷体_GBK" w:eastAsia="方正楷体_GBK" w:cs="方正楷体_GBK"/>
          <w:b/>
          <w:bCs/>
          <w:spacing w:val="-20"/>
          <w:sz w:val="32"/>
          <w:szCs w:val="32"/>
          <w:lang w:eastAsia="zh-CN"/>
        </w:rPr>
        <w:t>五</w:t>
      </w:r>
      <w:r>
        <w:rPr>
          <w:rFonts w:hint="eastAsia" w:ascii="方正楷体_GBK" w:hAnsi="方正楷体_GBK" w:eastAsia="方正楷体_GBK" w:cs="方正楷体_GBK"/>
          <w:b/>
          <w:bCs/>
          <w:spacing w:val="-20"/>
          <w:sz w:val="32"/>
          <w:szCs w:val="32"/>
          <w:lang w:val="en-US" w:eastAsia="zh-CN"/>
        </w:rPr>
        <w:t>、</w:t>
      </w:r>
      <w:r>
        <w:rPr>
          <w:rFonts w:hint="eastAsia" w:ascii="方正楷体_GBK" w:hAnsi="方正楷体_GBK" w:eastAsia="方正楷体_GBK" w:cs="方正楷体_GBK"/>
          <w:b/>
          <w:bCs/>
          <w:spacing w:val="-20"/>
          <w:sz w:val="32"/>
          <w:szCs w:val="32"/>
        </w:rPr>
        <w:t>全面加强消防宣传教育培训</w:t>
      </w:r>
      <w:bookmarkEnd w:id="38"/>
    </w:p>
    <w:p>
      <w:pPr>
        <w:keepNext w:val="0"/>
        <w:keepLines w:val="0"/>
        <w:pageBreakBefore w:val="0"/>
        <w:kinsoku/>
        <w:wordWrap/>
        <w:overflowPunct/>
        <w:topLinePunct w:val="0"/>
        <w:autoSpaceDE/>
        <w:autoSpaceDN/>
        <w:bidi w:val="0"/>
        <w:adjustRightInd w:val="0"/>
        <w:snapToGrid w:val="0"/>
        <w:spacing w:line="600" w:lineRule="exact"/>
        <w:ind w:firstLine="560" w:firstLineChars="200"/>
        <w:outlineLvl w:val="2"/>
        <w:rPr>
          <w:rFonts w:hint="eastAsia" w:ascii="方正仿宋_GBK" w:hAnsi="方正仿宋_GBK" w:eastAsia="方正仿宋_GBK" w:cs="方正仿宋_GBK"/>
          <w:b/>
          <w:bCs/>
          <w:spacing w:val="-20"/>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ind w:firstLine="560" w:firstLineChars="200"/>
        <w:outlineLvl w:val="2"/>
        <w:rPr>
          <w:rFonts w:hint="eastAsia" w:ascii="方正仿宋_GBK" w:hAnsi="方正仿宋_GBK" w:eastAsia="方正仿宋_GBK" w:cs="方正仿宋_GBK"/>
          <w:b/>
          <w:bCs/>
          <w:spacing w:val="-20"/>
          <w:sz w:val="32"/>
          <w:szCs w:val="32"/>
          <w:lang w:val="en-US" w:eastAsia="zh-CN"/>
        </w:rPr>
      </w:pPr>
      <w:bookmarkStart w:id="39" w:name="_Toc24558"/>
      <w:r>
        <w:rPr>
          <w:rFonts w:hint="eastAsia" w:ascii="方正仿宋_GBK" w:hAnsi="方正仿宋_GBK" w:eastAsia="方正仿宋_GBK" w:cs="方正仿宋_GBK"/>
          <w:b/>
          <w:bCs/>
          <w:spacing w:val="-20"/>
          <w:sz w:val="32"/>
          <w:szCs w:val="32"/>
          <w:lang w:val="en-US" w:eastAsia="zh-CN"/>
        </w:rPr>
        <w:t>（一）加强消防宣传政策保障</w:t>
      </w:r>
      <w:bookmarkEnd w:id="39"/>
    </w:p>
    <w:p>
      <w:pPr>
        <w:keepNext w:val="0"/>
        <w:keepLines w:val="0"/>
        <w:pageBreakBefore w:val="0"/>
        <w:kinsoku/>
        <w:wordWrap/>
        <w:overflowPunct/>
        <w:topLinePunct w:val="0"/>
        <w:autoSpaceDE/>
        <w:autoSpaceDN/>
        <w:bidi w:val="0"/>
        <w:adjustRightInd w:val="0"/>
        <w:snapToGrid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eastAsia" w:ascii="方正仿宋_GBK" w:hAnsi="方正仿宋_GBK" w:eastAsia="方正仿宋_GBK" w:cs="方正仿宋_GBK"/>
          <w:spacing w:val="-20"/>
          <w:sz w:val="32"/>
          <w:szCs w:val="32"/>
          <w:lang w:val="en-US" w:eastAsia="zh-CN"/>
        </w:rPr>
        <w:t>出台推进社会化宣传工作的相关文件，进一步推动行业部门及社会单位落实消防安全宣传培训教育责任。推动各级各部门将消防宣传教育培训纳入国民安全教育、普法教育、科普教育、劳动就业培训体系，将消防安全纳入精神文明、安全社区、美丽乡村、安全单位创建和企业安全标准化创建活动。继续推动党校将消防安全知识纳入干部培训课程。创新消防安全培训方式，充分利用网络教学，实现社会化消防安全培训资源的共享，降低培训成本。对不同的消防对象因材施教，重点对单位消防安全责任人、管理人、消防安全检测人员及消防志愿者等人群进行培训，利用5年时间，按照每年20%的人群比例完成培训工作。</w:t>
      </w:r>
      <w:r>
        <w:rPr>
          <w:rFonts w:hint="eastAsia" w:ascii="方正仿宋_GBK" w:hAnsi="方正仿宋_GBK" w:eastAsia="方正仿宋_GBK" w:cs="方正仿宋_GBK"/>
          <w:color w:val="auto"/>
          <w:spacing w:val="-20"/>
          <w:sz w:val="32"/>
          <w:szCs w:val="32"/>
          <w:lang w:val="en-US" w:eastAsia="zh-CN"/>
        </w:rPr>
        <w:t>大力推进消防宣传“五进”活动。</w:t>
      </w:r>
    </w:p>
    <w:p>
      <w:pPr>
        <w:keepNext w:val="0"/>
        <w:keepLines w:val="0"/>
        <w:pageBreakBefore w:val="0"/>
        <w:kinsoku/>
        <w:wordWrap/>
        <w:overflowPunct/>
        <w:topLinePunct w:val="0"/>
        <w:autoSpaceDE/>
        <w:autoSpaceDN/>
        <w:bidi w:val="0"/>
        <w:adjustRightInd w:val="0"/>
        <w:snapToGrid w:val="0"/>
        <w:spacing w:line="600" w:lineRule="exact"/>
        <w:ind w:firstLine="560" w:firstLineChars="200"/>
        <w:outlineLvl w:val="2"/>
        <w:rPr>
          <w:rFonts w:hint="eastAsia" w:ascii="方正仿宋_GBK" w:hAnsi="方正仿宋_GBK" w:eastAsia="方正仿宋_GBK" w:cs="方正仿宋_GBK"/>
          <w:b/>
          <w:bCs/>
          <w:spacing w:val="-20"/>
          <w:sz w:val="32"/>
          <w:szCs w:val="32"/>
          <w:lang w:val="en-US" w:eastAsia="zh-CN"/>
        </w:rPr>
      </w:pPr>
      <w:bookmarkStart w:id="40" w:name="_Toc1253"/>
      <w:r>
        <w:rPr>
          <w:rFonts w:hint="eastAsia" w:ascii="方正仿宋_GBK" w:hAnsi="方正仿宋_GBK" w:eastAsia="方正仿宋_GBK" w:cs="方正仿宋_GBK"/>
          <w:b/>
          <w:bCs/>
          <w:spacing w:val="-20"/>
          <w:sz w:val="32"/>
          <w:szCs w:val="32"/>
          <w:lang w:val="en-US" w:eastAsia="zh-CN"/>
        </w:rPr>
        <w:t>（二）推进消防宣传基础设施建设</w:t>
      </w:r>
      <w:bookmarkEnd w:id="40"/>
    </w:p>
    <w:p>
      <w:pPr>
        <w:keepNext w:val="0"/>
        <w:keepLines w:val="0"/>
        <w:pageBreakBefore w:val="0"/>
        <w:kinsoku/>
        <w:wordWrap/>
        <w:overflowPunct/>
        <w:topLinePunct w:val="0"/>
        <w:autoSpaceDE/>
        <w:autoSpaceDN/>
        <w:bidi w:val="0"/>
        <w:adjustRightInd w:val="0"/>
        <w:snapToGrid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升级改造现有消防科普教育馆，规范消防站、消防博物馆、消防公园等消防科普教育基地建设，充分将三维影像、全息投影、VR等高科技技术应用于火场逃生、灭火器使用等项目，实现游戏趣味互动功能，寓教于乐。临河区、杭锦后旗、五原县三地自2021年开始，打造一条“消防宣传长廊、消防安全文化街、消防宣传主题小区”等特色亮点工程。乌拉特前旗、磴口县依托城市公园，于2023年底前完成消防文化主题公园建设。乌拉特中旗、乌拉特后旗依托防灾馆、科技馆、图书馆、电影院、社区（村镇）党员服务中心等具有民族特色的公共活动场所，2023年底前规划建设完成长久型、固定式消防安全文化功能宣传阵地。</w:t>
      </w:r>
    </w:p>
    <w:p>
      <w:pPr>
        <w:keepNext w:val="0"/>
        <w:keepLines w:val="0"/>
        <w:pageBreakBefore w:val="0"/>
        <w:kinsoku/>
        <w:wordWrap/>
        <w:overflowPunct/>
        <w:topLinePunct w:val="0"/>
        <w:autoSpaceDE/>
        <w:autoSpaceDN/>
        <w:bidi w:val="0"/>
        <w:adjustRightInd w:val="0"/>
        <w:snapToGrid w:val="0"/>
        <w:spacing w:line="600" w:lineRule="exact"/>
        <w:ind w:firstLine="560" w:firstLineChars="200"/>
        <w:outlineLvl w:val="2"/>
        <w:rPr>
          <w:rFonts w:hint="eastAsia" w:ascii="方正仿宋_GBK" w:hAnsi="方正仿宋_GBK" w:eastAsia="方正仿宋_GBK" w:cs="方正仿宋_GBK"/>
          <w:b/>
          <w:bCs/>
          <w:spacing w:val="-20"/>
          <w:sz w:val="32"/>
          <w:szCs w:val="32"/>
          <w:lang w:val="en-US" w:eastAsia="zh-CN"/>
        </w:rPr>
      </w:pPr>
      <w:bookmarkStart w:id="41" w:name="_Toc32422"/>
      <w:r>
        <w:rPr>
          <w:rFonts w:hint="eastAsia" w:ascii="方正仿宋_GBK" w:hAnsi="方正仿宋_GBK" w:eastAsia="方正仿宋_GBK" w:cs="方正仿宋_GBK"/>
          <w:b/>
          <w:bCs/>
          <w:spacing w:val="-20"/>
          <w:sz w:val="32"/>
          <w:szCs w:val="32"/>
          <w:lang w:val="en-US" w:eastAsia="zh-CN"/>
        </w:rPr>
        <w:t>（三）实施全民消防教育培训计划</w:t>
      </w:r>
      <w:bookmarkEnd w:id="41"/>
    </w:p>
    <w:p>
      <w:pPr>
        <w:keepNext w:val="0"/>
        <w:keepLines w:val="0"/>
        <w:pageBreakBefore w:val="0"/>
        <w:kinsoku/>
        <w:wordWrap/>
        <w:overflowPunct/>
        <w:topLinePunct w:val="0"/>
        <w:autoSpaceDE/>
        <w:autoSpaceDN/>
        <w:bidi w:val="0"/>
        <w:adjustRightInd w:val="0"/>
        <w:snapToGrid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进一步完善社会化消防培训教育体系，加强行业系统培训。将消防安全教育纳入学历教育，中小学、幼儿园将消防知识纳入教学内容，80%以上的中小学做到消防安全知识教材、师资、课时全保证。“十四五”期间，</w:t>
      </w:r>
      <w:r>
        <w:rPr>
          <w:rFonts w:hint="eastAsia" w:ascii="方正仿宋_GBK" w:hAnsi="方正仿宋_GBK" w:eastAsia="方正仿宋_GBK" w:cs="方正仿宋_GBK"/>
          <w:color w:val="auto"/>
          <w:spacing w:val="-20"/>
          <w:sz w:val="32"/>
          <w:szCs w:val="32"/>
          <w:lang w:val="en-US" w:eastAsia="zh-CN"/>
        </w:rPr>
        <w:t>60%的乡镇、街道、公安派出所、小区业主委员会等建立家庭消防安全宣传教育制度。60%的社区建立消防安全宣传教育制度，30%以上的社区至少明确1名消防宣传大使。</w:t>
      </w:r>
      <w:r>
        <w:rPr>
          <w:rFonts w:hint="eastAsia" w:ascii="方正仿宋_GBK" w:hAnsi="方正仿宋_GBK" w:eastAsia="方正仿宋_GBK" w:cs="方正仿宋_GBK"/>
          <w:spacing w:val="-20"/>
          <w:sz w:val="32"/>
          <w:szCs w:val="32"/>
          <w:lang w:val="en-US" w:eastAsia="zh-CN"/>
        </w:rPr>
        <w:t>100%的社会单位消防安全责任人和管理人、消防专兼职人员、消防控制室操作人员、微型消防站人员、物业保安队伍参与消防安全培训，消防安全重点单位消防控制室值班操作人员实现100%定岗定责、100%接受专业技能培训。依托乡镇苏木司法所采取农村站队员“进万家”方式，实现农村宣传全覆盖，消防常识全民懂。 </w:t>
      </w:r>
    </w:p>
    <w:p>
      <w:pPr>
        <w:pStyle w:val="2"/>
        <w:keepNext w:val="0"/>
        <w:keepLines w:val="0"/>
        <w:pageBreakBefore w:val="0"/>
        <w:kinsoku/>
        <w:wordWrap/>
        <w:overflowPunct/>
        <w:topLinePunct w:val="0"/>
        <w:autoSpaceDE/>
        <w:autoSpaceDN/>
        <w:bidi w:val="0"/>
        <w:spacing w:line="600" w:lineRule="exact"/>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lang w:val="en-US" w:eastAsia="zh-CN"/>
        </w:rPr>
      </w:pPr>
      <w:bookmarkStart w:id="42" w:name="_Toc20513"/>
      <w:r>
        <w:rPr>
          <w:rFonts w:hint="eastAsia" w:ascii="方正楷体_GBK" w:hAnsi="方正楷体_GBK" w:eastAsia="方正楷体_GBK" w:cs="方正楷体_GBK"/>
          <w:b/>
          <w:bCs/>
          <w:spacing w:val="-20"/>
          <w:sz w:val="32"/>
          <w:szCs w:val="32"/>
          <w:lang w:eastAsia="zh-CN"/>
        </w:rPr>
        <w:t>六</w:t>
      </w:r>
      <w:r>
        <w:rPr>
          <w:rFonts w:hint="eastAsia" w:ascii="方正楷体_GBK" w:hAnsi="方正楷体_GBK" w:eastAsia="方正楷体_GBK" w:cs="方正楷体_GBK"/>
          <w:b/>
          <w:bCs/>
          <w:spacing w:val="-20"/>
          <w:sz w:val="32"/>
          <w:szCs w:val="32"/>
          <w:lang w:val="en-US" w:eastAsia="zh-CN"/>
        </w:rPr>
        <w:t>、</w:t>
      </w:r>
      <w:r>
        <w:rPr>
          <w:rFonts w:hint="eastAsia" w:ascii="方正楷体_GBK" w:hAnsi="方正楷体_GBK" w:eastAsia="方正楷体_GBK" w:cs="方正楷体_GBK"/>
          <w:b/>
          <w:bCs/>
          <w:spacing w:val="-20"/>
          <w:sz w:val="32"/>
          <w:szCs w:val="32"/>
        </w:rPr>
        <w:t>构建消防救援力量体系</w:t>
      </w:r>
      <w:bookmarkEnd w:id="42"/>
    </w:p>
    <w:p>
      <w:pPr>
        <w:keepNext w:val="0"/>
        <w:keepLines w:val="0"/>
        <w:pageBreakBefore w:val="0"/>
        <w:kinsoku/>
        <w:wordWrap/>
        <w:overflowPunct/>
        <w:topLinePunct w:val="0"/>
        <w:autoSpaceDE/>
        <w:autoSpaceDN/>
        <w:bidi w:val="0"/>
        <w:adjustRightInd w:val="0"/>
        <w:snapToGrid w:val="0"/>
        <w:spacing w:line="600" w:lineRule="exact"/>
        <w:ind w:firstLine="560" w:firstLineChars="200"/>
        <w:outlineLvl w:val="2"/>
        <w:rPr>
          <w:rFonts w:hint="eastAsia" w:ascii="方正仿宋_GBK" w:hAnsi="方正仿宋_GBK" w:eastAsia="方正仿宋_GBK" w:cs="方正仿宋_GBK"/>
          <w:b/>
          <w:bCs/>
          <w:spacing w:val="-20"/>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ind w:firstLine="560" w:firstLineChars="200"/>
        <w:outlineLvl w:val="2"/>
        <w:rPr>
          <w:rFonts w:hint="eastAsia" w:ascii="方正仿宋_GBK" w:hAnsi="方正仿宋_GBK" w:eastAsia="方正仿宋_GBK" w:cs="方正仿宋_GBK"/>
          <w:b/>
          <w:bCs/>
          <w:spacing w:val="-20"/>
          <w:sz w:val="32"/>
          <w:szCs w:val="32"/>
          <w:lang w:val="en-US" w:eastAsia="zh-CN"/>
        </w:rPr>
      </w:pPr>
      <w:bookmarkStart w:id="43" w:name="_Toc30059"/>
      <w:r>
        <w:rPr>
          <w:rFonts w:hint="eastAsia" w:ascii="方正仿宋_GBK" w:hAnsi="方正仿宋_GBK" w:eastAsia="方正仿宋_GBK" w:cs="方正仿宋_GBK"/>
          <w:b/>
          <w:bCs/>
          <w:spacing w:val="-20"/>
          <w:sz w:val="32"/>
          <w:szCs w:val="32"/>
          <w:lang w:val="en-US" w:eastAsia="zh-CN"/>
        </w:rPr>
        <w:t>（一）加强应急联动机制建设</w:t>
      </w:r>
      <w:bookmarkEnd w:id="43"/>
      <w:r>
        <w:rPr>
          <w:rFonts w:hint="eastAsia" w:ascii="方正仿宋_GBK" w:hAnsi="方正仿宋_GBK" w:eastAsia="方正仿宋_GBK" w:cs="方正仿宋_GBK"/>
          <w:b/>
          <w:bCs/>
          <w:spacing w:val="-20"/>
          <w:sz w:val="32"/>
          <w:szCs w:val="32"/>
          <w:lang w:val="en-US" w:eastAsia="zh-CN"/>
        </w:rPr>
        <w:t xml:space="preserve"> </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建立政府统一领导的应急救援联勤联动机制，强化各区旗县政府、部门和单位的应急救援职责，构建“条块结合、一管到底”的综合应急力量网络。2021年完</w:t>
      </w:r>
      <w:r>
        <w:rPr>
          <w:rFonts w:hint="eastAsia" w:ascii="方正仿宋_GBK" w:hAnsi="方正仿宋_GBK" w:eastAsia="方正仿宋_GBK" w:cs="方正仿宋_GBK"/>
          <w:spacing w:val="-20"/>
          <w:sz w:val="32"/>
          <w:szCs w:val="32"/>
          <w:lang w:val="en-US" w:eastAsia="zh-CN"/>
        </w:rPr>
        <w:t>成市级专家组建设，2023年基于市级基础上完成各旗县区的专家组建设，2024年完成全市整合统一。建立完善以消防队伍为主力、各方力量广泛参与的实装、实地、实战常态化训练演练机制，不断提高联勤联动水平，提高多种力量协同作战能力。建立用于地震等应急救援的大型机械社会储备库和应急调用及补偿机制。</w:t>
      </w:r>
    </w:p>
    <w:p>
      <w:pPr>
        <w:keepNext w:val="0"/>
        <w:keepLines w:val="0"/>
        <w:pageBreakBefore w:val="0"/>
        <w:kinsoku/>
        <w:wordWrap/>
        <w:overflowPunct/>
        <w:topLinePunct w:val="0"/>
        <w:autoSpaceDE/>
        <w:autoSpaceDN/>
        <w:bidi w:val="0"/>
        <w:adjustRightInd w:val="0"/>
        <w:snapToGrid w:val="0"/>
        <w:spacing w:line="600" w:lineRule="exact"/>
        <w:ind w:firstLine="560" w:firstLineChars="200"/>
        <w:outlineLvl w:val="2"/>
        <w:rPr>
          <w:rFonts w:hint="eastAsia" w:ascii="方正仿宋_GBK" w:hAnsi="方正仿宋_GBK" w:eastAsia="方正仿宋_GBK" w:cs="方正仿宋_GBK"/>
          <w:b/>
          <w:bCs/>
          <w:spacing w:val="-20"/>
          <w:sz w:val="32"/>
          <w:szCs w:val="32"/>
          <w:lang w:val="en-US" w:eastAsia="zh-CN"/>
        </w:rPr>
      </w:pPr>
      <w:bookmarkStart w:id="44" w:name="_Toc30352"/>
      <w:r>
        <w:rPr>
          <w:rFonts w:hint="eastAsia" w:ascii="方正仿宋_GBK" w:hAnsi="方正仿宋_GBK" w:eastAsia="方正仿宋_GBK" w:cs="方正仿宋_GBK"/>
          <w:b/>
          <w:bCs/>
          <w:spacing w:val="-20"/>
          <w:sz w:val="32"/>
          <w:szCs w:val="32"/>
          <w:lang w:val="en-US" w:eastAsia="zh-CN"/>
        </w:rPr>
        <w:t>（二）加强水域航空救援队伍建设。</w:t>
      </w:r>
      <w:bookmarkEnd w:id="44"/>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依托巴彦淖尔自然水域资源丰富的特点，打造一支立足河套、辐射全区的机动性能强、装备技术精、专业水平高的水域救援专业队伍。人员按照不少于40人的标准进行编配，按照选拔特殊人员、配备特殊装备、划拨特殊经费、享受特殊待遇、承担特殊任务的标准组建队伍。科学评估水域救援现有装备体系，对现有的装备器材进行调整优化，按照标准配备舟（艇）、水域救援模块车等器材装备。设置</w:t>
      </w:r>
      <w:r>
        <w:rPr>
          <w:rFonts w:hint="eastAsia" w:eastAsia="仿宋_GB2312"/>
          <w:b w:val="0"/>
          <w:bCs w:val="0"/>
          <w:snapToGrid w:val="0"/>
          <w:color w:val="auto"/>
          <w:kern w:val="0"/>
          <w:sz w:val="32"/>
          <w:szCs w:val="32"/>
          <w:lang w:eastAsia="zh-CN"/>
        </w:rPr>
        <w:t>水面舟艇救援、</w:t>
      </w:r>
      <w:r>
        <w:rPr>
          <w:rFonts w:hint="eastAsia" w:ascii="方正仿宋_GBK" w:hAnsi="方正仿宋_GBK" w:eastAsia="方正仿宋_GBK" w:cs="方正仿宋_GBK"/>
          <w:color w:val="auto"/>
          <w:spacing w:val="-20"/>
          <w:sz w:val="32"/>
          <w:szCs w:val="32"/>
          <w:lang w:val="en-US" w:eastAsia="zh-CN"/>
        </w:rPr>
        <w:t>潜水救援2个水域救援分队和1个救援保障队，分别侧重于执行内河、湖泊、水库和城市内涝，开放水域的潜水救援任务</w:t>
      </w:r>
      <w:r>
        <w:rPr>
          <w:rFonts w:hint="eastAsia" w:ascii="方正仿宋_GBK" w:hAnsi="方正仿宋_GBK" w:cs="方正仿宋_GBK"/>
          <w:color w:val="auto"/>
          <w:spacing w:val="-20"/>
          <w:sz w:val="32"/>
          <w:szCs w:val="32"/>
          <w:lang w:val="en-US" w:eastAsia="zh-CN"/>
        </w:rPr>
        <w:t>。</w:t>
      </w:r>
      <w:r>
        <w:rPr>
          <w:rFonts w:hint="eastAsia" w:ascii="方正仿宋_GBK" w:hAnsi="方正仿宋_GBK" w:eastAsia="方正仿宋_GBK" w:cs="方正仿宋_GBK"/>
          <w:color w:val="auto"/>
          <w:spacing w:val="-20"/>
          <w:sz w:val="32"/>
          <w:szCs w:val="32"/>
          <w:lang w:val="en-US" w:eastAsia="zh-CN"/>
        </w:rPr>
        <w:t>构建空中救援投送力量，并开展专业化索（滑）降、重型机械吊送等训练。利用直升机形成“空地一体”救援物资和救援力量投送的救援新模式。在2025年前使轻型地震救援队、水域救援专业队与空中救援力量相结合形成战斗力。</w:t>
      </w:r>
    </w:p>
    <w:p>
      <w:pPr>
        <w:keepNext w:val="0"/>
        <w:keepLines w:val="0"/>
        <w:pageBreakBefore w:val="0"/>
        <w:kinsoku/>
        <w:wordWrap/>
        <w:overflowPunct/>
        <w:topLinePunct w:val="0"/>
        <w:autoSpaceDE/>
        <w:autoSpaceDN/>
        <w:bidi w:val="0"/>
        <w:adjustRightInd w:val="0"/>
        <w:snapToGrid w:val="0"/>
        <w:spacing w:line="600" w:lineRule="exact"/>
        <w:ind w:firstLine="560" w:firstLineChars="200"/>
        <w:outlineLvl w:val="2"/>
        <w:rPr>
          <w:rFonts w:hint="eastAsia" w:ascii="方正仿宋_GBK" w:hAnsi="方正仿宋_GBK" w:eastAsia="方正仿宋_GBK" w:cs="方正仿宋_GBK"/>
          <w:b/>
          <w:bCs/>
          <w:spacing w:val="-20"/>
          <w:sz w:val="32"/>
          <w:szCs w:val="32"/>
          <w:lang w:val="en-US" w:eastAsia="zh-CN"/>
        </w:rPr>
      </w:pPr>
      <w:bookmarkStart w:id="45" w:name="_Toc9608"/>
      <w:r>
        <w:rPr>
          <w:rFonts w:hint="eastAsia" w:ascii="方正仿宋_GBK" w:hAnsi="方正仿宋_GBK" w:eastAsia="方正仿宋_GBK" w:cs="方正仿宋_GBK"/>
          <w:b/>
          <w:bCs/>
          <w:spacing w:val="-20"/>
          <w:sz w:val="32"/>
          <w:szCs w:val="32"/>
          <w:lang w:val="en-US" w:eastAsia="zh-CN"/>
        </w:rPr>
        <w:t>（三）加强专业化攻坚队伍建设。</w:t>
      </w:r>
      <w:bookmarkEnd w:id="45"/>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实施“灭火救援攻坚能力提升工程”，全面加强基层综合救援队伍建设。202</w:t>
      </w:r>
      <w:r>
        <w:rPr>
          <w:rFonts w:hint="default" w:ascii="方正仿宋_GBK" w:hAnsi="方正仿宋_GBK" w:eastAsia="方正仿宋_GBK" w:cs="方正仿宋_GBK"/>
          <w:color w:val="auto"/>
          <w:spacing w:val="-20"/>
          <w:sz w:val="32"/>
          <w:szCs w:val="32"/>
          <w:lang w:val="en-US" w:eastAsia="zh-CN"/>
        </w:rPr>
        <w:t>3</w:t>
      </w:r>
      <w:r>
        <w:rPr>
          <w:rFonts w:hint="eastAsia" w:ascii="方正仿宋_GBK" w:hAnsi="方正仿宋_GBK" w:eastAsia="方正仿宋_GBK" w:cs="方正仿宋_GBK"/>
          <w:color w:val="auto"/>
          <w:spacing w:val="-20"/>
          <w:sz w:val="32"/>
          <w:szCs w:val="32"/>
          <w:lang w:val="en-US" w:eastAsia="zh-CN"/>
        </w:rPr>
        <w:t>年，在乌拉特前旗、乌拉特中旗、乌拉特后旗分别建设根据本辖区化工产业特点相应类型的灾害事故处置专业队伍。强化现有轻型地震救援队，在2024年前完成专业化的轻型地震救援队、轻型水域救援队的组建工作并积极开展地震、水域灾害应急救援培训和训练。加强石油化工企业灭火救援准备，完善化工灭火救援编队，2024年前完成对各类石油化工企业专职消防队伍力量进行整合，形成处置大型石油化工物质灾害事故的化工灭火救援编队力量。按照“普通消防站特勤化、特勤消防站专业化”的思路，进一步加强特勤站建设，加强对高层建筑、地下空间、石油化工等特殊复杂火灾的灭火技战术研究。“十四五”结束前完成石油化工、大型建筑、地震救援、水域救援专业队伍建设，形成各类火灾扑救及各类事故处置模块，按照专业开展针对性训练。</w:t>
      </w:r>
    </w:p>
    <w:p>
      <w:pPr>
        <w:keepNext w:val="0"/>
        <w:keepLines w:val="0"/>
        <w:pageBreakBefore w:val="0"/>
        <w:kinsoku/>
        <w:wordWrap/>
        <w:overflowPunct/>
        <w:topLinePunct w:val="0"/>
        <w:autoSpaceDE/>
        <w:autoSpaceDN/>
        <w:bidi w:val="0"/>
        <w:adjustRightInd w:val="0"/>
        <w:snapToGrid w:val="0"/>
        <w:spacing w:line="600" w:lineRule="exact"/>
        <w:ind w:firstLine="560" w:firstLineChars="200"/>
        <w:outlineLvl w:val="2"/>
        <w:rPr>
          <w:rFonts w:hint="eastAsia" w:ascii="方正仿宋_GBK" w:hAnsi="方正仿宋_GBK" w:eastAsia="方正仿宋_GBK" w:cs="方正仿宋_GBK"/>
          <w:b/>
          <w:bCs/>
          <w:spacing w:val="-20"/>
          <w:sz w:val="32"/>
          <w:szCs w:val="32"/>
          <w:lang w:val="en-US" w:eastAsia="zh-CN"/>
        </w:rPr>
      </w:pPr>
      <w:bookmarkStart w:id="46" w:name="_Toc12567"/>
      <w:r>
        <w:rPr>
          <w:rFonts w:hint="eastAsia" w:ascii="方正仿宋_GBK" w:hAnsi="方正仿宋_GBK" w:eastAsia="方正仿宋_GBK" w:cs="方正仿宋_GBK"/>
          <w:b/>
          <w:bCs/>
          <w:spacing w:val="-20"/>
          <w:sz w:val="32"/>
          <w:szCs w:val="32"/>
          <w:lang w:val="en-US" w:eastAsia="zh-CN"/>
        </w:rPr>
        <w:t>（四）加强战勤保障体系建设</w:t>
      </w:r>
      <w:bookmarkEnd w:id="46"/>
      <w:r>
        <w:rPr>
          <w:rFonts w:hint="eastAsia" w:ascii="方正仿宋_GBK" w:hAnsi="方正仿宋_GBK" w:eastAsia="方正仿宋_GBK" w:cs="方正仿宋_GBK"/>
          <w:b/>
          <w:bCs/>
          <w:spacing w:val="-20"/>
          <w:sz w:val="32"/>
          <w:szCs w:val="32"/>
          <w:lang w:val="en-US" w:eastAsia="zh-CN"/>
        </w:rPr>
        <w:t xml:space="preserve"> </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结合全市产业分布、地域特点，突出抓好战勤保障体系建设。2022年战勤保障库、特勤消防站集中储备一定数量的防护装备和灭火药剂；2025年，建立具有区域辐射功能的物资仓储、应急运输、油料供给、防化洗消、技术服务、卫勤保障六大功能模块；到2025年底，旗县区各消防救援大队逐步建立符合当地地域特点的战勤保障单元；强化战勤保障队伍建设，配齐配强战勤保障人员，坚持战勤保障值班备勤和等级响应制度。强化各战勤保障单位和社会各联勤单位在应急物资储备、装备调集等方面的实时互联互通，建立与交通、运输、电力、通信、医疗、商务、防疫等部门间的联勤保障协作机制；与物流运输、油料、灭火药剂等本地生产、销售、储存企业签订灭火救援服务或代储代供协议，平时厂家储存、战时紧急供应。</w:t>
      </w:r>
    </w:p>
    <w:p>
      <w:pPr>
        <w:keepNext w:val="0"/>
        <w:keepLines w:val="0"/>
        <w:pageBreakBefore w:val="0"/>
        <w:kinsoku/>
        <w:wordWrap/>
        <w:overflowPunct/>
        <w:topLinePunct w:val="0"/>
        <w:autoSpaceDE/>
        <w:autoSpaceDN/>
        <w:bidi w:val="0"/>
        <w:adjustRightInd w:val="0"/>
        <w:snapToGrid w:val="0"/>
        <w:spacing w:line="600" w:lineRule="exact"/>
        <w:ind w:firstLine="560" w:firstLineChars="200"/>
        <w:outlineLvl w:val="2"/>
        <w:rPr>
          <w:rFonts w:hint="eastAsia" w:ascii="方正仿宋_GBK" w:hAnsi="方正仿宋_GBK" w:eastAsia="方正仿宋_GBK" w:cs="方正仿宋_GBK"/>
          <w:b/>
          <w:bCs/>
          <w:spacing w:val="-20"/>
          <w:sz w:val="32"/>
          <w:szCs w:val="32"/>
          <w:lang w:val="en-US" w:eastAsia="zh-CN"/>
        </w:rPr>
      </w:pPr>
      <w:bookmarkStart w:id="47" w:name="_Toc30197"/>
      <w:r>
        <w:rPr>
          <w:rFonts w:hint="eastAsia" w:ascii="方正仿宋_GBK" w:hAnsi="方正仿宋_GBK" w:eastAsia="方正仿宋_GBK" w:cs="方正仿宋_GBK"/>
          <w:b/>
          <w:bCs/>
          <w:spacing w:val="-20"/>
          <w:sz w:val="32"/>
          <w:szCs w:val="32"/>
          <w:lang w:val="en-US" w:eastAsia="zh-CN"/>
        </w:rPr>
        <w:t>（五）加强多元消防力量建设</w:t>
      </w:r>
      <w:bookmarkEnd w:id="47"/>
      <w:r>
        <w:rPr>
          <w:rFonts w:hint="eastAsia" w:ascii="方正仿宋_GBK" w:hAnsi="方正仿宋_GBK" w:eastAsia="方正仿宋_GBK" w:cs="方正仿宋_GBK"/>
          <w:b/>
          <w:bCs/>
          <w:spacing w:val="-20"/>
          <w:sz w:val="32"/>
          <w:szCs w:val="32"/>
          <w:lang w:val="en-US" w:eastAsia="zh-CN"/>
        </w:rPr>
        <w:t xml:space="preserve"> </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eastAsia" w:ascii="方正仿宋_GBK" w:hAnsi="方正仿宋_GBK" w:eastAsia="方正仿宋_GBK" w:cs="方正仿宋_GBK"/>
          <w:spacing w:val="-20"/>
          <w:sz w:val="32"/>
          <w:szCs w:val="32"/>
          <w:lang w:val="en-US" w:eastAsia="zh-CN"/>
        </w:rPr>
        <w:t>立足消防治理体系和治理能力的现代化，大力发展多种形式消防队伍，充分发挥政府在规划、标准、投入等方面的主体功能，统筹规划专业应急救援队伍的种类、数量、层次、布局等，制定各级各类救援队伍建设标准及管理办法，保障人员、装备、资金等方面的持续稳定投入，建成政府专职消防队、保安联防消防队、农村志愿消防队。逐步推进人口稠密区、商业集中区、工业园区中小型站建设，在无消防力量的老城区探索利用政府闲置房产建设微型消防站或消防执勤点。</w:t>
      </w:r>
      <w:r>
        <w:rPr>
          <w:rFonts w:hint="eastAsia" w:ascii="方正仿宋_GBK" w:hAnsi="方正仿宋_GBK" w:eastAsia="方正仿宋_GBK" w:cs="方正仿宋_GBK"/>
          <w:color w:val="auto"/>
          <w:spacing w:val="-20"/>
          <w:sz w:val="32"/>
          <w:szCs w:val="32"/>
          <w:lang w:val="en-US" w:eastAsia="zh-CN"/>
        </w:rPr>
        <w:t>2021年底，实现街道社区和重点单位微型消防站建成率100%。完成志愿（兼职）消防队建设，规划消防志愿者达到200人；2021年底前，100%所有行政村、自然村完成志愿（兼职）消防队建设，规划消防志愿者达到200人。2022年以前，建成消防志愿速报员体系。2025年底前，所有行政村、自然村100%完成志愿（兼职）消防队建设，规划消防志愿者达到1000人。</w:t>
      </w:r>
    </w:p>
    <w:tbl>
      <w:tblPr>
        <w:tblStyle w:val="12"/>
        <w:tblW w:w="0" w:type="auto"/>
        <w:tblInd w:w="0" w:type="dxa"/>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108" w:type="dxa"/>
            <w:bottom w:w="0" w:type="dxa"/>
            <w:right w:w="108" w:type="dxa"/>
          </w:tblCellMar>
        </w:tblPrEx>
        <w:tc>
          <w:tcPr>
            <w:tcW w:w="9060" w:type="dxa"/>
          </w:tcPr>
          <w:p>
            <w:pPr>
              <w:keepNext w:val="0"/>
              <w:keepLines w:val="0"/>
              <w:pageBreakBefore w:val="0"/>
              <w:kinsoku/>
              <w:wordWrap/>
              <w:overflowPunct/>
              <w:topLinePunct w:val="0"/>
              <w:autoSpaceDE/>
              <w:autoSpaceDN/>
              <w:bidi w:val="0"/>
              <w:spacing w:after="0" w:line="600" w:lineRule="exact"/>
              <w:jc w:val="center"/>
              <w:rPr>
                <w:rFonts w:ascii="Times New Roman" w:hAnsi="Times New Roman" w:eastAsia="方正仿宋_GBK"/>
                <w:b/>
                <w:color w:val="000000"/>
                <w:sz w:val="32"/>
                <w:szCs w:val="32"/>
              </w:rPr>
            </w:pPr>
            <w:r>
              <w:rPr>
                <w:rFonts w:hint="eastAsia" w:ascii="Times New Roman" w:hAnsi="Times New Roman" w:eastAsia="方正仿宋_GBK"/>
                <w:b/>
                <w:color w:val="000000"/>
                <w:sz w:val="32"/>
                <w:szCs w:val="32"/>
              </w:rPr>
              <w:t>专栏3政府专职队伍建设重点</w:t>
            </w:r>
          </w:p>
        </w:tc>
      </w:tr>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108" w:type="dxa"/>
            <w:bottom w:w="0" w:type="dxa"/>
            <w:right w:w="108" w:type="dxa"/>
          </w:tblCellMar>
        </w:tblPrEx>
        <w:trPr>
          <w:trHeight w:val="1130" w:hRule="atLeast"/>
        </w:trPr>
        <w:tc>
          <w:tcPr>
            <w:tcW w:w="9060" w:type="dxa"/>
          </w:tcPr>
          <w:p>
            <w:pPr>
              <w:keepNext w:val="0"/>
              <w:keepLines w:val="0"/>
              <w:pageBreakBefore w:val="0"/>
              <w:kinsoku/>
              <w:wordWrap/>
              <w:overflowPunct/>
              <w:topLinePunct w:val="0"/>
              <w:autoSpaceDE/>
              <w:autoSpaceDN/>
              <w:bidi w:val="0"/>
              <w:spacing w:after="0" w:line="60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新建城市专职消防</w:t>
            </w:r>
            <w:r>
              <w:rPr>
                <w:rFonts w:hint="eastAsia" w:ascii="Times New Roman" w:hAnsi="Times New Roman" w:eastAsia="方正仿宋_GBK"/>
                <w:color w:val="auto"/>
                <w:sz w:val="32"/>
                <w:szCs w:val="32"/>
                <w:lang w:eastAsia="zh-CN"/>
              </w:rPr>
              <w:t>队</w:t>
            </w:r>
            <w:r>
              <w:rPr>
                <w:rFonts w:hint="eastAsia" w:eastAsia="方正仿宋_GBK"/>
                <w:color w:val="auto"/>
                <w:sz w:val="32"/>
                <w:szCs w:val="32"/>
                <w:lang w:val="en-US" w:eastAsia="zh-CN"/>
              </w:rPr>
              <w:t>4</w:t>
            </w:r>
            <w:r>
              <w:rPr>
                <w:rFonts w:hint="eastAsia" w:ascii="Times New Roman" w:hAnsi="Times New Roman" w:eastAsia="方正仿宋_GBK"/>
                <w:color w:val="auto"/>
                <w:sz w:val="32"/>
                <w:szCs w:val="32"/>
              </w:rPr>
              <w:t>个（一级普通消防站标准队</w:t>
            </w:r>
            <w:r>
              <w:rPr>
                <w:rFonts w:hint="eastAsia" w:ascii="Times New Roman" w:hAnsi="Times New Roman" w:eastAsia="方正仿宋_GBK"/>
                <w:color w:val="auto"/>
                <w:sz w:val="32"/>
                <w:szCs w:val="32"/>
                <w:lang w:val="en-US" w:eastAsia="zh-CN"/>
              </w:rPr>
              <w:t>1</w:t>
            </w:r>
            <w:r>
              <w:rPr>
                <w:rFonts w:hint="eastAsia" w:ascii="Times New Roman" w:hAnsi="Times New Roman" w:eastAsia="方正仿宋_GBK"/>
                <w:color w:val="auto"/>
                <w:sz w:val="32"/>
                <w:szCs w:val="32"/>
              </w:rPr>
              <w:t>个、二级普通消防站标准队</w:t>
            </w:r>
            <w:r>
              <w:rPr>
                <w:rFonts w:hint="eastAsia" w:eastAsia="方正仿宋_GBK"/>
                <w:color w:val="auto"/>
                <w:sz w:val="32"/>
                <w:szCs w:val="32"/>
                <w:lang w:val="en-US" w:eastAsia="zh-CN"/>
              </w:rPr>
              <w:t>2</w:t>
            </w:r>
            <w:r>
              <w:rPr>
                <w:rFonts w:hint="eastAsia" w:ascii="Times New Roman" w:hAnsi="Times New Roman" w:eastAsia="方正仿宋_GBK"/>
                <w:color w:val="auto"/>
                <w:sz w:val="32"/>
                <w:szCs w:val="32"/>
              </w:rPr>
              <w:t>个、小型</w:t>
            </w:r>
            <w:r>
              <w:rPr>
                <w:rFonts w:hint="eastAsia" w:eastAsia="方正仿宋_GBK"/>
                <w:color w:val="auto"/>
                <w:sz w:val="32"/>
                <w:szCs w:val="32"/>
                <w:lang w:eastAsia="zh-CN"/>
              </w:rPr>
              <w:t>站标准</w:t>
            </w:r>
            <w:r>
              <w:rPr>
                <w:rFonts w:hint="eastAsia" w:ascii="Times New Roman" w:hAnsi="Times New Roman" w:eastAsia="方正仿宋_GBK"/>
                <w:color w:val="auto"/>
                <w:sz w:val="32"/>
                <w:szCs w:val="32"/>
              </w:rPr>
              <w:t>队</w:t>
            </w:r>
            <w:r>
              <w:rPr>
                <w:rFonts w:hint="eastAsia" w:eastAsia="方正仿宋_GBK"/>
                <w:color w:val="auto"/>
                <w:sz w:val="32"/>
                <w:szCs w:val="32"/>
                <w:lang w:val="en-US" w:eastAsia="zh-CN"/>
              </w:rPr>
              <w:t>1</w:t>
            </w:r>
            <w:r>
              <w:rPr>
                <w:rFonts w:hint="eastAsia" w:ascii="Times New Roman" w:hAnsi="Times New Roman" w:eastAsia="方正仿宋_GBK"/>
                <w:color w:val="auto"/>
                <w:sz w:val="32"/>
                <w:szCs w:val="32"/>
              </w:rPr>
              <w:t>个）；新建乡镇专职消防队</w:t>
            </w:r>
            <w:r>
              <w:rPr>
                <w:rFonts w:hint="eastAsia" w:ascii="Times New Roman" w:hAnsi="Times New Roman" w:eastAsia="方正仿宋_GBK"/>
                <w:color w:val="auto"/>
                <w:sz w:val="32"/>
                <w:szCs w:val="32"/>
                <w:lang w:val="en-US" w:eastAsia="zh-CN"/>
              </w:rPr>
              <w:t>8</w:t>
            </w:r>
            <w:r>
              <w:rPr>
                <w:rFonts w:hint="eastAsia" w:ascii="Times New Roman" w:hAnsi="Times New Roman" w:eastAsia="方正仿宋_GBK"/>
                <w:color w:val="auto"/>
                <w:sz w:val="32"/>
                <w:szCs w:val="32"/>
              </w:rPr>
              <w:t>个（二级乡镇专职消防</w:t>
            </w:r>
            <w:r>
              <w:rPr>
                <w:rFonts w:hint="eastAsia" w:eastAsia="方正仿宋_GBK"/>
                <w:color w:val="auto"/>
                <w:sz w:val="32"/>
                <w:szCs w:val="32"/>
                <w:lang w:eastAsia="zh-CN"/>
              </w:rPr>
              <w:t>队</w:t>
            </w:r>
            <w:r>
              <w:rPr>
                <w:rFonts w:hint="eastAsia" w:ascii="Times New Roman" w:hAnsi="Times New Roman" w:eastAsia="方正仿宋_GBK"/>
                <w:color w:val="auto"/>
                <w:sz w:val="32"/>
                <w:szCs w:val="32"/>
              </w:rPr>
              <w:t>3个、乡镇志愿消防队</w:t>
            </w:r>
            <w:r>
              <w:rPr>
                <w:rFonts w:hint="eastAsia" w:ascii="Times New Roman" w:hAnsi="Times New Roman" w:eastAsia="方正仿宋_GBK"/>
                <w:color w:val="auto"/>
                <w:sz w:val="32"/>
                <w:szCs w:val="32"/>
                <w:lang w:val="en-US" w:eastAsia="zh-CN"/>
              </w:rPr>
              <w:t>5</w:t>
            </w:r>
            <w:r>
              <w:rPr>
                <w:rFonts w:hint="eastAsia" w:ascii="Times New Roman" w:hAnsi="Times New Roman" w:eastAsia="方正仿宋_GBK"/>
                <w:color w:val="auto"/>
                <w:sz w:val="32"/>
                <w:szCs w:val="32"/>
              </w:rPr>
              <w:t>个）；</w:t>
            </w:r>
          </w:p>
          <w:p>
            <w:pPr>
              <w:keepNext w:val="0"/>
              <w:keepLines w:val="0"/>
              <w:pageBreakBefore w:val="0"/>
              <w:kinsoku/>
              <w:wordWrap/>
              <w:overflowPunct/>
              <w:topLinePunct w:val="0"/>
              <w:autoSpaceDE/>
              <w:autoSpaceDN/>
              <w:bidi w:val="0"/>
              <w:spacing w:after="0" w:line="600" w:lineRule="exact"/>
              <w:ind w:firstLine="640" w:firstLineChars="200"/>
              <w:rPr>
                <w:rFonts w:hint="eastAsia" w:ascii="Times New Roman" w:hAnsi="Times New Roman" w:eastAsia="方正仿宋_GBK"/>
                <w:color w:val="000000"/>
                <w:sz w:val="32"/>
                <w:szCs w:val="32"/>
                <w:lang w:eastAsia="zh-CN"/>
              </w:rPr>
            </w:pPr>
            <w:r>
              <w:rPr>
                <w:rFonts w:hint="eastAsia" w:ascii="Times New Roman" w:hAnsi="Times New Roman" w:eastAsia="方正仿宋_GBK"/>
                <w:color w:val="auto"/>
                <w:sz w:val="32"/>
                <w:szCs w:val="32"/>
              </w:rPr>
              <w:t>招收政府专职消防站队员</w:t>
            </w:r>
            <w:r>
              <w:rPr>
                <w:rFonts w:hint="eastAsia" w:eastAsia="方正仿宋_GBK"/>
                <w:color w:val="auto"/>
                <w:sz w:val="32"/>
                <w:szCs w:val="32"/>
                <w:lang w:val="en-US" w:eastAsia="zh-CN"/>
              </w:rPr>
              <w:t>80</w:t>
            </w:r>
            <w:r>
              <w:rPr>
                <w:rFonts w:hint="eastAsia" w:ascii="Times New Roman" w:hAnsi="Times New Roman" w:eastAsia="方正仿宋_GBK"/>
                <w:color w:val="auto"/>
                <w:sz w:val="32"/>
                <w:szCs w:val="32"/>
              </w:rPr>
              <w:t>人，消防文员</w:t>
            </w:r>
            <w:r>
              <w:rPr>
                <w:rFonts w:hint="eastAsia" w:ascii="Times New Roman" w:hAnsi="Times New Roman" w:eastAsia="方正仿宋_GBK"/>
                <w:color w:val="auto"/>
                <w:sz w:val="32"/>
                <w:szCs w:val="32"/>
                <w:lang w:val="en-US" w:eastAsia="zh-CN"/>
              </w:rPr>
              <w:t>45</w:t>
            </w:r>
            <w:r>
              <w:rPr>
                <w:rFonts w:hint="eastAsia" w:ascii="Times New Roman" w:hAnsi="Times New Roman" w:eastAsia="方正仿宋_GBK"/>
                <w:color w:val="auto"/>
                <w:sz w:val="32"/>
                <w:szCs w:val="32"/>
              </w:rPr>
              <w:t>人，志愿者消防队员</w:t>
            </w:r>
            <w:r>
              <w:rPr>
                <w:rFonts w:hint="eastAsia" w:ascii="Times New Roman" w:hAnsi="Times New Roman" w:eastAsia="方正仿宋_GBK"/>
                <w:color w:val="auto"/>
                <w:sz w:val="32"/>
                <w:szCs w:val="32"/>
                <w:lang w:val="en-US" w:eastAsia="zh-CN"/>
              </w:rPr>
              <w:t>120</w:t>
            </w:r>
            <w:r>
              <w:rPr>
                <w:rFonts w:hint="eastAsia" w:ascii="Times New Roman" w:hAnsi="Times New Roman" w:eastAsia="方正仿宋_GBK"/>
                <w:color w:val="auto"/>
                <w:sz w:val="32"/>
                <w:szCs w:val="32"/>
              </w:rPr>
              <w:t>人；采购各类消防器材配备</w:t>
            </w:r>
            <w:r>
              <w:rPr>
                <w:rFonts w:hint="eastAsia" w:ascii="Times New Roman" w:hAnsi="Times New Roman" w:eastAsia="方正仿宋_GBK"/>
                <w:color w:val="auto"/>
                <w:sz w:val="32"/>
                <w:szCs w:val="32"/>
                <w:lang w:val="en-US" w:eastAsia="zh-CN"/>
              </w:rPr>
              <w:t>5112</w:t>
            </w:r>
            <w:r>
              <w:rPr>
                <w:rFonts w:hint="eastAsia" w:ascii="Times New Roman" w:hAnsi="Times New Roman" w:eastAsia="方正仿宋_GBK"/>
                <w:color w:val="auto"/>
                <w:sz w:val="32"/>
                <w:szCs w:val="32"/>
              </w:rPr>
              <w:t>件（套），配备各类消防灭火剂</w:t>
            </w:r>
            <w:r>
              <w:rPr>
                <w:rFonts w:hint="eastAsia" w:ascii="Times New Roman" w:hAnsi="Times New Roman" w:eastAsia="方正仿宋_GBK"/>
                <w:color w:val="auto"/>
                <w:sz w:val="32"/>
                <w:szCs w:val="32"/>
                <w:lang w:val="en-US" w:eastAsia="zh-CN"/>
              </w:rPr>
              <w:t>100</w:t>
            </w:r>
            <w:r>
              <w:rPr>
                <w:rFonts w:hint="eastAsia" w:ascii="Times New Roman" w:hAnsi="Times New Roman" w:eastAsia="方正仿宋_GBK"/>
                <w:color w:val="auto"/>
                <w:sz w:val="32"/>
                <w:szCs w:val="32"/>
              </w:rPr>
              <w:t>吨。</w:t>
            </w:r>
            <w:r>
              <w:rPr>
                <w:rFonts w:hint="eastAsia" w:ascii="Times New Roman" w:hAnsi="Times New Roman" w:eastAsia="方正仿宋_GBK"/>
                <w:color w:val="auto"/>
                <w:sz w:val="32"/>
                <w:szCs w:val="32"/>
                <w:lang w:eastAsia="zh-CN"/>
              </w:rPr>
              <w:t>购置水罐消防车</w:t>
            </w:r>
            <w:r>
              <w:rPr>
                <w:rFonts w:hint="eastAsia" w:ascii="Times New Roman" w:hAnsi="Times New Roman" w:eastAsia="方正仿宋_GBK"/>
                <w:color w:val="auto"/>
                <w:sz w:val="32"/>
                <w:szCs w:val="32"/>
                <w:lang w:val="en-US" w:eastAsia="zh-CN"/>
              </w:rPr>
              <w:t>7台，压缩空气泡沫车1台，高喷车1台，抢险救援车3台，防化洗消车2台</w:t>
            </w:r>
            <w:r>
              <w:rPr>
                <w:rFonts w:hint="eastAsia" w:eastAsia="方正仿宋_GBK"/>
                <w:color w:val="auto"/>
                <w:sz w:val="32"/>
                <w:szCs w:val="32"/>
                <w:lang w:val="en-US" w:eastAsia="zh-CN"/>
              </w:rPr>
              <w:t>。</w:t>
            </w:r>
          </w:p>
        </w:tc>
      </w:tr>
    </w:tbl>
    <w:p>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lang w:eastAsia="zh-CN"/>
        </w:rPr>
      </w:pPr>
      <w:bookmarkStart w:id="48" w:name="_Toc32352384"/>
      <w:bookmarkStart w:id="49" w:name="_Toc33880894"/>
      <w:bookmarkStart w:id="50" w:name="_Toc32352162"/>
      <w:bookmarkStart w:id="51" w:name="_Toc32352586"/>
      <w:bookmarkStart w:id="52" w:name="_Toc32352158"/>
      <w:bookmarkStart w:id="53" w:name="_Toc32352380"/>
      <w:bookmarkStart w:id="54" w:name="_Toc33880890"/>
      <w:bookmarkStart w:id="55" w:name="_Toc32352582"/>
    </w:p>
    <w:p>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rPr>
      </w:pPr>
      <w:bookmarkStart w:id="56" w:name="_Toc7661"/>
      <w:r>
        <w:rPr>
          <w:rFonts w:hint="eastAsia" w:ascii="方正楷体_GBK" w:hAnsi="方正楷体_GBK" w:eastAsia="方正楷体_GBK" w:cs="方正楷体_GBK"/>
          <w:b/>
          <w:bCs/>
          <w:spacing w:val="-20"/>
          <w:sz w:val="32"/>
          <w:szCs w:val="32"/>
          <w:lang w:eastAsia="zh-CN"/>
        </w:rPr>
        <w:t>七、</w:t>
      </w:r>
      <w:r>
        <w:rPr>
          <w:rFonts w:hint="eastAsia" w:ascii="方正楷体_GBK" w:hAnsi="方正楷体_GBK" w:eastAsia="方正楷体_GBK" w:cs="方正楷体_GBK"/>
          <w:b/>
          <w:bCs/>
          <w:spacing w:val="-20"/>
          <w:sz w:val="32"/>
          <w:szCs w:val="32"/>
        </w:rPr>
        <w:t>深化消防信息化建设</w:t>
      </w:r>
      <w:bookmarkEnd w:id="56"/>
    </w:p>
    <w:bookmarkEnd w:id="48"/>
    <w:bookmarkEnd w:id="49"/>
    <w:bookmarkEnd w:id="50"/>
    <w:bookmarkEnd w:id="51"/>
    <w:p>
      <w:pPr>
        <w:keepNext w:val="0"/>
        <w:keepLines w:val="0"/>
        <w:pageBreakBefore w:val="0"/>
        <w:kinsoku/>
        <w:wordWrap/>
        <w:overflowPunct/>
        <w:topLinePunct w:val="0"/>
        <w:autoSpaceDE/>
        <w:autoSpaceDN/>
        <w:bidi w:val="0"/>
        <w:adjustRightInd w:val="0"/>
        <w:snapToGrid w:val="0"/>
        <w:spacing w:line="600" w:lineRule="exact"/>
        <w:ind w:firstLine="560" w:firstLineChars="200"/>
        <w:outlineLvl w:val="2"/>
        <w:rPr>
          <w:rFonts w:hint="eastAsia" w:ascii="方正仿宋_GBK" w:hAnsi="方正仿宋_GBK" w:eastAsia="方正仿宋_GBK" w:cs="方正仿宋_GBK"/>
          <w:b/>
          <w:bCs/>
          <w:spacing w:val="-20"/>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ind w:firstLine="560" w:firstLineChars="200"/>
        <w:outlineLvl w:val="2"/>
        <w:rPr>
          <w:rFonts w:hint="eastAsia" w:ascii="方正仿宋_GBK" w:hAnsi="方正仿宋_GBK" w:eastAsia="方正仿宋_GBK" w:cs="方正仿宋_GBK"/>
          <w:b/>
          <w:bCs/>
          <w:spacing w:val="-20"/>
          <w:sz w:val="32"/>
          <w:szCs w:val="32"/>
          <w:lang w:val="en-US" w:eastAsia="zh-CN"/>
        </w:rPr>
      </w:pPr>
      <w:bookmarkStart w:id="57" w:name="_Toc31419"/>
      <w:r>
        <w:rPr>
          <w:rFonts w:hint="eastAsia" w:ascii="方正仿宋_GBK" w:hAnsi="方正仿宋_GBK" w:eastAsia="方正仿宋_GBK" w:cs="方正仿宋_GBK"/>
          <w:b/>
          <w:bCs/>
          <w:spacing w:val="-20"/>
          <w:sz w:val="32"/>
          <w:szCs w:val="32"/>
          <w:lang w:val="en-US" w:eastAsia="zh-CN"/>
        </w:rPr>
        <w:t>（一）打造新型指挥体系</w:t>
      </w:r>
      <w:bookmarkEnd w:id="57"/>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2021年全面升级现有消防指挥中心，接入政府信息资源，健全工作机制，规范操作流程，打造智能指挥中心。2021年对现有消防接处警系统功能进行智能化改造，运用语音识别、定位导航等技术，智能识别灾害类型、灾害场所、被困人员、响应等级等作战要素，通过对历史灾情的关联、学习和迭代，一键生成调度方案，打造智能接处警系统。2022年以前，全面完成智能指挥系统建设，在实战指挥系统基础上，深化“一张图”大数据建设应用，基于地图整合数字化预案、人装战力图谱等作战辅助信息，打造新型指挥系统。</w:t>
      </w:r>
    </w:p>
    <w:bookmarkEnd w:id="52"/>
    <w:bookmarkEnd w:id="53"/>
    <w:bookmarkEnd w:id="54"/>
    <w:bookmarkEnd w:id="55"/>
    <w:p>
      <w:pPr>
        <w:keepNext w:val="0"/>
        <w:keepLines w:val="0"/>
        <w:pageBreakBefore w:val="0"/>
        <w:kinsoku/>
        <w:wordWrap/>
        <w:overflowPunct/>
        <w:topLinePunct w:val="0"/>
        <w:autoSpaceDE/>
        <w:autoSpaceDN/>
        <w:bidi w:val="0"/>
        <w:adjustRightInd w:val="0"/>
        <w:snapToGrid w:val="0"/>
        <w:spacing w:line="600" w:lineRule="exact"/>
        <w:ind w:firstLine="560" w:firstLineChars="200"/>
        <w:outlineLvl w:val="2"/>
        <w:rPr>
          <w:rFonts w:hint="eastAsia" w:ascii="方正仿宋_GBK" w:hAnsi="方正仿宋_GBK" w:eastAsia="方正仿宋_GBK" w:cs="方正仿宋_GBK"/>
          <w:b/>
          <w:bCs/>
          <w:spacing w:val="-20"/>
          <w:sz w:val="32"/>
          <w:szCs w:val="32"/>
          <w:lang w:val="en-US" w:eastAsia="zh-CN"/>
        </w:rPr>
      </w:pPr>
      <w:bookmarkStart w:id="58" w:name="_Toc33880897"/>
      <w:bookmarkStart w:id="59" w:name="_Toc32352387"/>
      <w:bookmarkStart w:id="60" w:name="_Toc31967"/>
      <w:bookmarkStart w:id="61" w:name="_Toc32352589"/>
      <w:bookmarkStart w:id="62" w:name="_Toc32352165"/>
      <w:bookmarkStart w:id="63" w:name="_Toc32352585"/>
      <w:bookmarkStart w:id="64" w:name="_Toc33880893"/>
      <w:bookmarkStart w:id="65" w:name="_Toc32352161"/>
      <w:bookmarkStart w:id="66" w:name="_Toc32352383"/>
      <w:bookmarkStart w:id="67" w:name="_Toc32352163"/>
      <w:bookmarkStart w:id="68" w:name="_Toc32352587"/>
      <w:bookmarkStart w:id="69" w:name="_Toc32352385"/>
      <w:r>
        <w:rPr>
          <w:rFonts w:hint="eastAsia" w:ascii="方正仿宋_GBK" w:hAnsi="方正仿宋_GBK" w:eastAsia="方正仿宋_GBK" w:cs="方正仿宋_GBK"/>
          <w:b/>
          <w:bCs/>
          <w:spacing w:val="-20"/>
          <w:sz w:val="32"/>
          <w:szCs w:val="32"/>
          <w:lang w:val="en-US" w:eastAsia="zh-CN"/>
        </w:rPr>
        <w:t>（二）建强应急通信体系</w:t>
      </w:r>
      <w:bookmarkEnd w:id="58"/>
      <w:bookmarkEnd w:id="59"/>
      <w:bookmarkEnd w:id="60"/>
      <w:bookmarkEnd w:id="61"/>
      <w:bookmarkEnd w:id="62"/>
    </w:p>
    <w:bookmarkEnd w:id="63"/>
    <w:bookmarkEnd w:id="64"/>
    <w:bookmarkEnd w:id="65"/>
    <w:bookmarkEnd w:id="66"/>
    <w:bookmarkEnd w:id="67"/>
    <w:bookmarkEnd w:id="68"/>
    <w:bookmarkEnd w:id="69"/>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加强通信装备和网络建设。2022年底，按照标准完善应急指挥信息网建设。2023年，购置10套超轻型卫星便携站。2024年以前，根据5G技术发展情况，适合旗县配强配齐5G双模单兵、5G音视频布控球；购置1架多功能无人机，购置9架双光无人机；购置1辆动中通卫星通信车，1辆作战指挥车。</w:t>
      </w:r>
    </w:p>
    <w:p>
      <w:pPr>
        <w:keepNext w:val="0"/>
        <w:keepLines w:val="0"/>
        <w:pageBreakBefore w:val="0"/>
        <w:kinsoku/>
        <w:wordWrap/>
        <w:overflowPunct/>
        <w:topLinePunct w:val="0"/>
        <w:autoSpaceDE/>
        <w:autoSpaceDN/>
        <w:bidi w:val="0"/>
        <w:adjustRightInd w:val="0"/>
        <w:snapToGrid w:val="0"/>
        <w:spacing w:line="600" w:lineRule="exact"/>
        <w:ind w:firstLine="560" w:firstLineChars="200"/>
        <w:outlineLvl w:val="2"/>
        <w:rPr>
          <w:rFonts w:hint="eastAsia" w:ascii="方正仿宋_GBK" w:hAnsi="方正仿宋_GBK" w:eastAsia="方正仿宋_GBK" w:cs="方正仿宋_GBK"/>
          <w:b/>
          <w:bCs/>
          <w:spacing w:val="-20"/>
          <w:sz w:val="32"/>
          <w:szCs w:val="32"/>
          <w:lang w:val="en-US" w:eastAsia="zh-CN"/>
        </w:rPr>
      </w:pPr>
      <w:bookmarkStart w:id="70" w:name="_Toc10424"/>
      <w:r>
        <w:rPr>
          <w:rFonts w:hint="eastAsia" w:ascii="方正仿宋_GBK" w:hAnsi="方正仿宋_GBK" w:eastAsia="方正仿宋_GBK" w:cs="方正仿宋_GBK"/>
          <w:b/>
          <w:bCs/>
          <w:spacing w:val="-20"/>
          <w:sz w:val="32"/>
          <w:szCs w:val="32"/>
          <w:lang w:val="en-US" w:eastAsia="zh-CN"/>
        </w:rPr>
        <w:t>（三）深化“智慧消防”建设</w:t>
      </w:r>
      <w:bookmarkEnd w:id="70"/>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依托政府“智慧城市”建设，将消防数据平台融入“智慧城市”建设。2023年建设火灾监测预警预报系统，构建风险评估指标体系。2025年以前完成消防数据应用平台，研发消防移动监管APP，实现建筑消防设施、危化品企业远程火灾动态监测和跟踪管控，为消防安全高效监管提供强有力的信息技术支撑。</w:t>
      </w:r>
    </w:p>
    <w:p>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lang w:eastAsia="zh-CN"/>
        </w:rPr>
      </w:pPr>
    </w:p>
    <w:p>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lang w:val="en-US" w:eastAsia="zh-CN"/>
        </w:rPr>
      </w:pPr>
      <w:bookmarkStart w:id="71" w:name="_Toc23183"/>
      <w:r>
        <w:rPr>
          <w:rFonts w:hint="eastAsia" w:ascii="方正楷体_GBK" w:hAnsi="方正楷体_GBK" w:eastAsia="方正楷体_GBK" w:cs="方正楷体_GBK"/>
          <w:b/>
          <w:bCs/>
          <w:spacing w:val="-20"/>
          <w:sz w:val="32"/>
          <w:szCs w:val="32"/>
          <w:lang w:eastAsia="zh-CN"/>
        </w:rPr>
        <w:t>八</w:t>
      </w:r>
      <w:r>
        <w:rPr>
          <w:rFonts w:hint="eastAsia" w:ascii="方正楷体_GBK" w:hAnsi="方正楷体_GBK" w:eastAsia="方正楷体_GBK" w:cs="方正楷体_GBK"/>
          <w:b/>
          <w:bCs/>
          <w:spacing w:val="-20"/>
          <w:sz w:val="32"/>
          <w:szCs w:val="32"/>
          <w:lang w:val="en-US" w:eastAsia="zh-CN"/>
        </w:rPr>
        <w:t>、</w:t>
      </w:r>
      <w:r>
        <w:rPr>
          <w:rFonts w:hint="eastAsia" w:ascii="方正楷体_GBK" w:hAnsi="方正楷体_GBK" w:eastAsia="方正楷体_GBK" w:cs="方正楷体_GBK"/>
          <w:b/>
          <w:bCs/>
          <w:spacing w:val="-20"/>
          <w:sz w:val="32"/>
          <w:szCs w:val="32"/>
        </w:rPr>
        <w:t>加强消防职业保障</w:t>
      </w:r>
      <w:bookmarkEnd w:id="71"/>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p>
    <w:p>
      <w:pPr>
        <w:keepNext w:val="0"/>
        <w:keepLines w:val="0"/>
        <w:pageBreakBefore w:val="0"/>
        <w:kinsoku/>
        <w:wordWrap/>
        <w:overflowPunct/>
        <w:topLinePunct w:val="0"/>
        <w:autoSpaceDE/>
        <w:autoSpaceDN/>
        <w:bidi w:val="0"/>
        <w:spacing w:line="600" w:lineRule="exact"/>
        <w:ind w:firstLine="560" w:firstLineChars="200"/>
        <w:rPr>
          <w:rFonts w:hint="eastAsia" w:ascii="方正黑体_GBK" w:hAnsi="方正黑体_GBK" w:eastAsia="方正黑体_GBK" w:cs="方正黑体_GBK"/>
          <w:b w:val="0"/>
          <w:bCs w:val="0"/>
          <w:spacing w:val="-20"/>
          <w:sz w:val="32"/>
          <w:szCs w:val="32"/>
        </w:rPr>
      </w:pPr>
      <w:r>
        <w:rPr>
          <w:rFonts w:hint="eastAsia" w:ascii="方正仿宋_GBK" w:hAnsi="方正仿宋_GBK" w:eastAsia="方正仿宋_GBK" w:cs="方正仿宋_GBK"/>
          <w:color w:val="auto"/>
          <w:spacing w:val="-20"/>
          <w:sz w:val="32"/>
          <w:szCs w:val="32"/>
          <w:lang w:val="en-US" w:eastAsia="zh-CN"/>
        </w:rPr>
        <w:t>建立消防高危行业专项保障制度，保证消防员待遇与工作任务相适应。大力落实国家《消防员职业健康标准》（GBZ221－2009）。建立消防指战员心理疾病预防与干预机制，加强心理健康教育。消防救援人员参加社会保险，享受相应的社会保险待遇。全市消防救援人员人身意外伤害险按每人每年不低于100万元保额标准进行投保，保费由属地财政予以保障。对消防救援队伍子女教育优待、配偶随迁随调予以保障。将消防救援队伍绩效机制纳入党委政府和群团组织表彰奖励范围。将符合当地公共租赁住房保障条件的消防救援人员纳入地方住房保障范畴，享受政府公共租赁住房或住房补贴等各类保障政策，在同等条件下予以优先分配。将政府专职消防员（消防文员）参照行政编制消防员待遇，同等享受出行、就医、参观景区等优先和免费政策，专职消防员（消防文员）一并纳入地方表彰奖励范围。</w:t>
      </w:r>
    </w:p>
    <w:p>
      <w:pPr>
        <w:keepNext w:val="0"/>
        <w:keepLines w:val="0"/>
        <w:pageBreakBefore w:val="0"/>
        <w:kinsoku/>
        <w:wordWrap/>
        <w:overflowPunct/>
        <w:topLinePunct w:val="0"/>
        <w:autoSpaceDE/>
        <w:autoSpaceDN/>
        <w:bidi w:val="0"/>
        <w:adjustRightInd w:val="0"/>
        <w:snapToGrid w:val="0"/>
        <w:spacing w:line="600" w:lineRule="exact"/>
        <w:jc w:val="center"/>
        <w:outlineLvl w:val="0"/>
        <w:rPr>
          <w:rFonts w:ascii="方正黑体_GBK" w:hAnsi="方正黑体_GBK" w:eastAsia="方正黑体_GBK" w:cs="方正黑体_GBK"/>
          <w:b w:val="0"/>
          <w:bCs w:val="0"/>
          <w:spacing w:val="-20"/>
          <w:sz w:val="32"/>
          <w:szCs w:val="32"/>
        </w:rPr>
      </w:pPr>
      <w:bookmarkStart w:id="72" w:name="_Toc89"/>
      <w:r>
        <w:rPr>
          <w:rFonts w:hint="eastAsia" w:ascii="方正黑体_GBK" w:hAnsi="方正黑体_GBK" w:eastAsia="方正黑体_GBK" w:cs="方正黑体_GBK"/>
          <w:b w:val="0"/>
          <w:bCs w:val="0"/>
          <w:spacing w:val="-20"/>
          <w:sz w:val="32"/>
          <w:szCs w:val="32"/>
        </w:rPr>
        <w:t>第四章 保障措施</w:t>
      </w:r>
      <w:bookmarkEnd w:id="72"/>
    </w:p>
    <w:p>
      <w:pPr>
        <w:keepNext w:val="0"/>
        <w:keepLines w:val="0"/>
        <w:pageBreakBefore w:val="0"/>
        <w:kinsoku/>
        <w:wordWrap/>
        <w:overflowPunct/>
        <w:topLinePunct w:val="0"/>
        <w:autoSpaceDE/>
        <w:autoSpaceDN/>
        <w:bidi w:val="0"/>
        <w:spacing w:after="0" w:line="600" w:lineRule="exact"/>
        <w:ind w:firstLine="640" w:firstLineChars="200"/>
        <w:jc w:val="both"/>
        <w:rPr>
          <w:rStyle w:val="21"/>
          <w:rFonts w:hint="eastAsia" w:ascii="Times New Roman" w:hAnsi="Times New Roman" w:eastAsia="方正楷体_GBK"/>
          <w:b/>
          <w:kern w:val="2"/>
          <w:sz w:val="32"/>
          <w:szCs w:val="32"/>
          <w:lang w:eastAsia="zh-CN"/>
        </w:rPr>
      </w:pPr>
    </w:p>
    <w:p>
      <w:pPr>
        <w:keepNext w:val="0"/>
        <w:keepLines w:val="0"/>
        <w:pageBreakBefore w:val="0"/>
        <w:kinsoku/>
        <w:wordWrap/>
        <w:overflowPunct/>
        <w:topLinePunct w:val="0"/>
        <w:autoSpaceDE/>
        <w:autoSpaceDN/>
        <w:bidi w:val="0"/>
        <w:spacing w:after="0" w:line="600" w:lineRule="exact"/>
        <w:ind w:firstLine="640" w:firstLineChars="200"/>
        <w:jc w:val="both"/>
        <w:rPr>
          <w:rStyle w:val="21"/>
          <w:rFonts w:ascii="Times New Roman" w:hAnsi="Times New Roman" w:eastAsia="方正楷体_GBK"/>
          <w:b/>
          <w:kern w:val="2"/>
          <w:sz w:val="32"/>
          <w:szCs w:val="32"/>
        </w:rPr>
      </w:pPr>
      <w:r>
        <w:rPr>
          <w:rStyle w:val="21"/>
          <w:rFonts w:hint="eastAsia" w:ascii="Times New Roman" w:hAnsi="Times New Roman" w:eastAsia="方正楷体_GBK"/>
          <w:b/>
          <w:kern w:val="2"/>
          <w:sz w:val="32"/>
          <w:szCs w:val="32"/>
          <w:lang w:eastAsia="zh-CN"/>
        </w:rPr>
        <w:t>一</w:t>
      </w:r>
      <w:r>
        <w:rPr>
          <w:rStyle w:val="21"/>
          <w:rFonts w:hint="eastAsia" w:ascii="Times New Roman" w:hAnsi="Times New Roman" w:eastAsia="方正楷体_GBK"/>
          <w:b/>
          <w:kern w:val="2"/>
          <w:sz w:val="32"/>
          <w:szCs w:val="32"/>
          <w:lang w:val="en-US" w:eastAsia="zh-CN"/>
        </w:rPr>
        <w:t>、</w:t>
      </w:r>
      <w:r>
        <w:rPr>
          <w:rStyle w:val="21"/>
          <w:rFonts w:ascii="Times New Roman" w:hAnsi="Times New Roman" w:eastAsia="方正楷体_GBK"/>
          <w:b/>
          <w:kern w:val="2"/>
          <w:sz w:val="32"/>
          <w:szCs w:val="32"/>
        </w:rPr>
        <w:t>强化组织领导</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将巴彦淖尔市“十四五”消防救援事业规划实施工作，纳入地方党委政府重要议事日程，统筹推动各项任务目标的分解落实，制定实施方案和进度表，明确责任部门、工作要求和完成时限，建立定期会商协调工作机制。</w:t>
      </w:r>
    </w:p>
    <w:p>
      <w:pPr>
        <w:keepNext w:val="0"/>
        <w:keepLines w:val="0"/>
        <w:pageBreakBefore w:val="0"/>
        <w:kinsoku/>
        <w:wordWrap/>
        <w:overflowPunct/>
        <w:topLinePunct w:val="0"/>
        <w:autoSpaceDE/>
        <w:autoSpaceDN/>
        <w:bidi w:val="0"/>
        <w:spacing w:after="0" w:line="600" w:lineRule="exact"/>
        <w:ind w:firstLine="641"/>
        <w:jc w:val="both"/>
        <w:rPr>
          <w:rStyle w:val="21"/>
          <w:rFonts w:ascii="Times New Roman" w:hAnsi="Times New Roman" w:eastAsia="方正楷体_GBK"/>
          <w:b/>
          <w:kern w:val="2"/>
          <w:sz w:val="32"/>
          <w:szCs w:val="32"/>
        </w:rPr>
      </w:pPr>
      <w:r>
        <w:rPr>
          <w:rStyle w:val="21"/>
          <w:rFonts w:hint="eastAsia" w:ascii="Times New Roman" w:hAnsi="Times New Roman" w:eastAsia="方正楷体_GBK"/>
          <w:b/>
          <w:kern w:val="2"/>
          <w:sz w:val="32"/>
          <w:szCs w:val="32"/>
          <w:lang w:eastAsia="zh-CN"/>
        </w:rPr>
        <w:t>二</w:t>
      </w:r>
      <w:r>
        <w:rPr>
          <w:rStyle w:val="21"/>
          <w:rFonts w:hint="eastAsia" w:ascii="Times New Roman" w:hAnsi="Times New Roman" w:eastAsia="方正楷体_GBK"/>
          <w:b/>
          <w:kern w:val="2"/>
          <w:sz w:val="32"/>
          <w:szCs w:val="32"/>
          <w:lang w:val="en-US" w:eastAsia="zh-CN"/>
        </w:rPr>
        <w:t>、</w:t>
      </w:r>
      <w:r>
        <w:rPr>
          <w:rStyle w:val="21"/>
          <w:rFonts w:ascii="Times New Roman" w:hAnsi="Times New Roman" w:eastAsia="方正楷体_GBK"/>
          <w:b/>
          <w:kern w:val="2"/>
          <w:sz w:val="32"/>
          <w:szCs w:val="32"/>
        </w:rPr>
        <w:t>强化统筹协调</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发改、自然资源、财政、农牧、住房城乡建设等部门要细化落实主要任务，根据工作职能，在政策制定、用地规划、项目安排及体制创新等方面全力支持，及时协调解决规划实施中的问题，确保任务目标落到实处。</w:t>
      </w:r>
    </w:p>
    <w:p>
      <w:pPr>
        <w:keepNext w:val="0"/>
        <w:keepLines w:val="0"/>
        <w:pageBreakBefore w:val="0"/>
        <w:kinsoku/>
        <w:wordWrap/>
        <w:overflowPunct/>
        <w:topLinePunct w:val="0"/>
        <w:autoSpaceDE/>
        <w:autoSpaceDN/>
        <w:bidi w:val="0"/>
        <w:spacing w:after="0" w:line="600" w:lineRule="exact"/>
        <w:ind w:firstLine="641"/>
        <w:jc w:val="both"/>
        <w:rPr>
          <w:rStyle w:val="21"/>
          <w:rFonts w:ascii="Times New Roman" w:hAnsi="Times New Roman" w:eastAsia="方正楷体_GBK"/>
          <w:b/>
          <w:kern w:val="2"/>
          <w:sz w:val="32"/>
          <w:szCs w:val="32"/>
        </w:rPr>
      </w:pPr>
      <w:r>
        <w:rPr>
          <w:rStyle w:val="21"/>
          <w:rFonts w:hint="eastAsia" w:ascii="Times New Roman" w:hAnsi="Times New Roman" w:eastAsia="方正楷体_GBK"/>
          <w:b/>
          <w:kern w:val="2"/>
          <w:sz w:val="32"/>
          <w:szCs w:val="32"/>
          <w:lang w:eastAsia="zh-CN"/>
        </w:rPr>
        <w:t>三、</w:t>
      </w:r>
      <w:r>
        <w:rPr>
          <w:rStyle w:val="21"/>
          <w:rFonts w:ascii="Times New Roman" w:hAnsi="Times New Roman" w:eastAsia="方正楷体_GBK"/>
          <w:b/>
          <w:kern w:val="2"/>
          <w:sz w:val="32"/>
          <w:szCs w:val="32"/>
        </w:rPr>
        <w:t>强化经费保障</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进一步完善地方消防经费保障机制，贯彻落实财政部、应急管理部《国家综合性消防救援队伍经费管理暂行规定》（财建〔2020〕38号）及自治区相关规定，确保消防经费投入与当地经济社会发展水平相适应，要加大对旗县区级财力困难地区的消防救援站建设支持力度。</w:t>
      </w:r>
    </w:p>
    <w:p>
      <w:pPr>
        <w:keepNext w:val="0"/>
        <w:keepLines w:val="0"/>
        <w:pageBreakBefore w:val="0"/>
        <w:kinsoku/>
        <w:wordWrap/>
        <w:overflowPunct/>
        <w:topLinePunct w:val="0"/>
        <w:autoSpaceDE/>
        <w:autoSpaceDN/>
        <w:bidi w:val="0"/>
        <w:spacing w:after="0" w:line="600" w:lineRule="exact"/>
        <w:ind w:firstLine="641"/>
        <w:jc w:val="both"/>
        <w:rPr>
          <w:rStyle w:val="21"/>
          <w:rFonts w:ascii="Times New Roman" w:hAnsi="Times New Roman" w:eastAsia="方正楷体_GBK"/>
          <w:b/>
          <w:kern w:val="2"/>
          <w:sz w:val="32"/>
          <w:szCs w:val="32"/>
        </w:rPr>
      </w:pPr>
      <w:r>
        <w:rPr>
          <w:rStyle w:val="21"/>
          <w:rFonts w:hint="eastAsia" w:ascii="Times New Roman" w:hAnsi="Times New Roman" w:eastAsia="方正楷体_GBK"/>
          <w:b/>
          <w:kern w:val="2"/>
          <w:sz w:val="32"/>
          <w:szCs w:val="32"/>
          <w:lang w:eastAsia="zh-CN"/>
        </w:rPr>
        <w:t>四、</w:t>
      </w:r>
      <w:r>
        <w:rPr>
          <w:rStyle w:val="21"/>
          <w:rFonts w:ascii="Times New Roman" w:hAnsi="Times New Roman" w:eastAsia="方正楷体_GBK"/>
          <w:b/>
          <w:kern w:val="2"/>
          <w:sz w:val="32"/>
          <w:szCs w:val="32"/>
        </w:rPr>
        <w:t>强化督导考评</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sectPr>
          <w:footerReference r:id="rId4" w:type="default"/>
          <w:pgSz w:w="11906" w:h="16838"/>
          <w:pgMar w:top="1587" w:right="1474" w:bottom="1587" w:left="147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方正仿宋_GBK" w:hAnsi="方正仿宋_GBK" w:eastAsia="方正仿宋_GBK" w:cs="方正仿宋_GBK"/>
          <w:color w:val="auto"/>
          <w:spacing w:val="-20"/>
          <w:sz w:val="32"/>
          <w:szCs w:val="32"/>
          <w:lang w:val="en-US" w:eastAsia="zh-CN"/>
        </w:rPr>
        <w:t>建立年度检查考核机制，将规划推进落实情况纳入政务督查重要内容，强化规划实施进度的动态监管和调查分析，对发现的问题及时研究解决，市政府将对规划执行情况进行中期评估和末期考核，评估考核结果作为评价各级政府和各部门绩效的重要依据。</w:t>
      </w:r>
    </w:p>
    <w:p>
      <w:pPr>
        <w:outlineLvl w:val="0"/>
        <w:rPr>
          <w:rFonts w:hint="eastAsia" w:ascii="仿宋_GB2312" w:hAnsi="仿宋_GB2312" w:eastAsia="仿宋_GB2312" w:cs="仿宋_GB2312"/>
          <w:b/>
          <w:bCs/>
          <w:snapToGrid w:val="0"/>
          <w:kern w:val="0"/>
          <w:sz w:val="32"/>
          <w:szCs w:val="22"/>
          <w:lang w:eastAsia="zh-CN"/>
        </w:rPr>
      </w:pPr>
      <w:bookmarkStart w:id="73" w:name="_Toc2749"/>
      <w:r>
        <w:rPr>
          <w:rFonts w:hint="eastAsia" w:ascii="仿宋_GB2312" w:hAnsi="仿宋_GB2312" w:eastAsia="仿宋_GB2312" w:cs="仿宋_GB2312"/>
          <w:b/>
          <w:bCs/>
          <w:snapToGrid w:val="0"/>
          <w:kern w:val="0"/>
          <w:sz w:val="32"/>
          <w:szCs w:val="22"/>
          <w:lang w:eastAsia="zh-CN"/>
        </w:rPr>
        <w:t>附表：</w:t>
      </w:r>
      <w:bookmarkEnd w:id="73"/>
    </w:p>
    <w:p>
      <w:pPr>
        <w:numPr>
          <w:ilvl w:val="0"/>
          <w:numId w:val="2"/>
        </w:numPr>
        <w:ind w:firstLine="470" w:firstLineChars="147"/>
        <w:outlineLvl w:val="0"/>
        <w:rPr>
          <w:rFonts w:hint="eastAsia" w:ascii="仿宋_GB2312" w:hAnsi="仿宋_GB2312" w:eastAsia="仿宋_GB2312" w:cs="仿宋_GB2312"/>
          <w:snapToGrid w:val="0"/>
          <w:kern w:val="0"/>
          <w:sz w:val="32"/>
          <w:szCs w:val="22"/>
          <w:lang w:val="en-US" w:eastAsia="zh-CN"/>
        </w:rPr>
      </w:pPr>
      <w:bookmarkStart w:id="74" w:name="_Toc12094"/>
      <w:r>
        <w:rPr>
          <w:rFonts w:hint="eastAsia" w:ascii="仿宋_GB2312" w:hAnsi="仿宋_GB2312" w:eastAsia="仿宋_GB2312" w:cs="仿宋_GB2312"/>
          <w:snapToGrid w:val="0"/>
          <w:kern w:val="0"/>
          <w:sz w:val="32"/>
          <w:szCs w:val="22"/>
          <w:lang w:val="en-US" w:eastAsia="zh-CN"/>
        </w:rPr>
        <w:t>“十四五”期间消防站建设规划表</w:t>
      </w:r>
      <w:bookmarkEnd w:id="74"/>
    </w:p>
    <w:p>
      <w:pPr>
        <w:numPr>
          <w:ilvl w:val="0"/>
          <w:numId w:val="2"/>
        </w:numPr>
        <w:ind w:firstLine="470" w:firstLineChars="147"/>
        <w:outlineLvl w:val="0"/>
        <w:rPr>
          <w:rFonts w:hint="eastAsia" w:ascii="仿宋_GB2312" w:hAnsi="仿宋_GB2312" w:eastAsia="仿宋_GB2312" w:cs="仿宋_GB2312"/>
          <w:snapToGrid w:val="0"/>
          <w:kern w:val="0"/>
          <w:sz w:val="32"/>
          <w:szCs w:val="22"/>
          <w:lang w:val="en-US" w:eastAsia="zh-CN"/>
        </w:rPr>
      </w:pPr>
      <w:bookmarkStart w:id="75" w:name="_Toc4580"/>
      <w:r>
        <w:rPr>
          <w:rFonts w:hint="eastAsia" w:ascii="仿宋_GB2312" w:hAnsi="仿宋_GB2312" w:eastAsia="仿宋_GB2312" w:cs="仿宋_GB2312"/>
          <w:snapToGrid w:val="0"/>
          <w:kern w:val="0"/>
          <w:sz w:val="32"/>
          <w:szCs w:val="22"/>
          <w:lang w:val="en-US" w:eastAsia="zh-CN"/>
        </w:rPr>
        <w:t>“十四五”期间消防救援车辆装备建设规划表</w:t>
      </w:r>
      <w:bookmarkEnd w:id="75"/>
    </w:p>
    <w:p>
      <w:pPr>
        <w:numPr>
          <w:ilvl w:val="0"/>
          <w:numId w:val="2"/>
        </w:numPr>
        <w:ind w:firstLine="470" w:firstLineChars="147"/>
        <w:outlineLvl w:val="0"/>
        <w:rPr>
          <w:rFonts w:hint="eastAsia" w:ascii="仿宋_GB2312" w:hAnsi="仿宋_GB2312" w:eastAsia="仿宋_GB2312" w:cs="仿宋_GB2312"/>
          <w:snapToGrid w:val="0"/>
          <w:kern w:val="0"/>
          <w:sz w:val="32"/>
          <w:szCs w:val="22"/>
          <w:lang w:val="en-US" w:eastAsia="zh-CN"/>
        </w:rPr>
      </w:pPr>
      <w:bookmarkStart w:id="76" w:name="_Toc26598"/>
      <w:r>
        <w:rPr>
          <w:rFonts w:hint="eastAsia" w:ascii="仿宋_GB2312" w:hAnsi="仿宋_GB2312" w:eastAsia="仿宋_GB2312" w:cs="仿宋_GB2312"/>
          <w:snapToGrid w:val="0"/>
          <w:kern w:val="0"/>
          <w:sz w:val="32"/>
          <w:szCs w:val="22"/>
          <w:lang w:val="en-US" w:eastAsia="zh-CN"/>
        </w:rPr>
        <w:t>“十四五”期间消防救援队伍器材装备配备规划表</w:t>
      </w:r>
      <w:bookmarkEnd w:id="76"/>
    </w:p>
    <w:p>
      <w:pPr>
        <w:numPr>
          <w:ilvl w:val="0"/>
          <w:numId w:val="2"/>
        </w:numPr>
        <w:ind w:left="0" w:leftChars="0" w:firstLine="470" w:firstLineChars="147"/>
        <w:outlineLvl w:val="0"/>
        <w:rPr>
          <w:rFonts w:hint="eastAsia" w:ascii="仿宋_GB2312" w:hAnsi="仿宋_GB2312" w:eastAsia="仿宋_GB2312" w:cs="仿宋_GB2312"/>
          <w:snapToGrid w:val="0"/>
          <w:kern w:val="0"/>
          <w:sz w:val="32"/>
          <w:szCs w:val="22"/>
          <w:lang w:val="en-US" w:eastAsia="zh-CN"/>
        </w:rPr>
      </w:pPr>
      <w:bookmarkStart w:id="77" w:name="_Toc24750"/>
      <w:r>
        <w:rPr>
          <w:rFonts w:hint="eastAsia" w:ascii="仿宋_GB2312" w:hAnsi="仿宋_GB2312" w:eastAsia="仿宋_GB2312" w:cs="仿宋_GB2312"/>
          <w:snapToGrid w:val="0"/>
          <w:kern w:val="0"/>
          <w:sz w:val="32"/>
          <w:szCs w:val="22"/>
          <w:lang w:val="en-US" w:eastAsia="zh-CN"/>
        </w:rPr>
        <w:t>“十四五”期间市政消火栓建设规划表</w:t>
      </w:r>
      <w:bookmarkEnd w:id="77"/>
      <w:r>
        <w:rPr>
          <w:rFonts w:hint="eastAsia" w:ascii="仿宋_GB2312" w:hAnsi="仿宋_GB2312" w:eastAsia="仿宋_GB2312" w:cs="仿宋_GB2312"/>
          <w:snapToGrid w:val="0"/>
          <w:kern w:val="0"/>
          <w:sz w:val="32"/>
          <w:szCs w:val="22"/>
          <w:lang w:val="en-US" w:eastAsia="zh-CN"/>
        </w:rPr>
        <w:t xml:space="preserve"> </w:t>
      </w:r>
    </w:p>
    <w:p>
      <w:pPr>
        <w:numPr>
          <w:ilvl w:val="0"/>
          <w:numId w:val="2"/>
        </w:numPr>
        <w:ind w:left="0" w:leftChars="0" w:firstLine="470" w:firstLineChars="147"/>
        <w:outlineLvl w:val="0"/>
        <w:rPr>
          <w:rFonts w:hint="eastAsia" w:ascii="仿宋_GB2312" w:hAnsi="仿宋_GB2312" w:eastAsia="仿宋_GB2312" w:cs="仿宋_GB2312"/>
          <w:snapToGrid w:val="0"/>
          <w:kern w:val="0"/>
          <w:sz w:val="32"/>
          <w:szCs w:val="22"/>
          <w:lang w:val="en-US" w:eastAsia="zh-CN"/>
        </w:rPr>
      </w:pPr>
      <w:bookmarkStart w:id="78" w:name="_Toc26583"/>
      <w:r>
        <w:rPr>
          <w:rFonts w:hint="eastAsia" w:ascii="仿宋_GB2312" w:hAnsi="仿宋_GB2312" w:eastAsia="仿宋_GB2312" w:cs="仿宋_GB2312"/>
          <w:snapToGrid w:val="0"/>
          <w:kern w:val="0"/>
          <w:sz w:val="32"/>
          <w:szCs w:val="22"/>
          <w:lang w:val="en-US" w:eastAsia="zh-CN"/>
        </w:rPr>
        <w:t>“十四五”规划新建农村消防站统计表</w:t>
      </w:r>
      <w:bookmarkEnd w:id="78"/>
    </w:p>
    <w:p>
      <w:pPr>
        <w:numPr>
          <w:ilvl w:val="0"/>
          <w:numId w:val="2"/>
        </w:numPr>
        <w:ind w:left="0" w:leftChars="0" w:firstLine="470" w:firstLineChars="147"/>
        <w:outlineLvl w:val="0"/>
        <w:rPr>
          <w:rFonts w:hint="eastAsia" w:ascii="仿宋_GB2312" w:hAnsi="仿宋_GB2312" w:eastAsia="仿宋_GB2312" w:cs="仿宋_GB2312"/>
          <w:snapToGrid w:val="0"/>
          <w:kern w:val="0"/>
          <w:sz w:val="32"/>
          <w:szCs w:val="22"/>
          <w:lang w:val="en-US" w:eastAsia="zh-CN"/>
        </w:rPr>
      </w:pPr>
      <w:bookmarkStart w:id="79" w:name="_Toc6154"/>
      <w:r>
        <w:rPr>
          <w:rFonts w:hint="eastAsia" w:ascii="仿宋_GB2312" w:hAnsi="仿宋_GB2312" w:eastAsia="仿宋_GB2312" w:cs="仿宋_GB2312"/>
          <w:snapToGrid w:val="0"/>
          <w:kern w:val="0"/>
          <w:sz w:val="32"/>
          <w:szCs w:val="22"/>
          <w:lang w:val="en-US" w:eastAsia="zh-CN"/>
        </w:rPr>
        <w:t>“十四五”规划新建城市政府专职消防队统计表</w:t>
      </w:r>
      <w:bookmarkEnd w:id="79"/>
    </w:p>
    <w:p>
      <w:pPr>
        <w:numPr>
          <w:ilvl w:val="0"/>
          <w:numId w:val="2"/>
        </w:numPr>
        <w:ind w:left="0" w:leftChars="0" w:firstLine="470" w:firstLineChars="147"/>
        <w:outlineLvl w:val="0"/>
        <w:rPr>
          <w:rFonts w:hint="default" w:ascii="仿宋_GB2312" w:hAnsi="仿宋_GB2312" w:eastAsia="仿宋_GB2312" w:cs="仿宋_GB2312"/>
          <w:snapToGrid w:val="0"/>
          <w:kern w:val="0"/>
          <w:sz w:val="32"/>
          <w:szCs w:val="22"/>
          <w:lang w:val="en-US" w:eastAsia="zh-CN"/>
        </w:rPr>
      </w:pPr>
      <w:bookmarkStart w:id="80" w:name="_Toc10201"/>
      <w:r>
        <w:rPr>
          <w:rFonts w:hint="eastAsia" w:ascii="仿宋_GB2312" w:hAnsi="仿宋_GB2312" w:eastAsia="仿宋_GB2312" w:cs="仿宋_GB2312"/>
          <w:snapToGrid w:val="0"/>
          <w:kern w:val="0"/>
          <w:sz w:val="32"/>
          <w:szCs w:val="22"/>
          <w:lang w:val="en-US" w:eastAsia="zh-CN"/>
        </w:rPr>
        <w:t>“十四五”期间政府专职队车辆装备建设规划表</w:t>
      </w:r>
      <w:bookmarkEnd w:id="80"/>
    </w:p>
    <w:p>
      <w:pPr>
        <w:rPr>
          <w:rFonts w:hint="eastAsia" w:ascii="仿宋_GB2312" w:hAnsi="仿宋_GB2312" w:eastAsia="仿宋_GB2312" w:cs="仿宋_GB2312"/>
          <w:snapToGrid w:val="0"/>
          <w:kern w:val="0"/>
          <w:sz w:val="32"/>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仿宋_GB2312" w:eastAsia="仿宋_GB2312" w:cs="仿宋_GB2312"/>
          <w:snapToGrid w:val="0"/>
          <w:kern w:val="0"/>
          <w:sz w:val="32"/>
        </w:rPr>
        <w:br w:type="page"/>
      </w:r>
    </w:p>
    <w:tbl>
      <w:tblPr>
        <w:tblStyle w:val="12"/>
        <w:tblW w:w="0" w:type="auto"/>
        <w:tblInd w:w="0" w:type="dxa"/>
        <w:shd w:val="clear" w:color="auto" w:fill="auto"/>
        <w:tblLayout w:type="autofit"/>
        <w:tblCellMar>
          <w:top w:w="0" w:type="dxa"/>
          <w:left w:w="0" w:type="dxa"/>
          <w:bottom w:w="0" w:type="dxa"/>
          <w:right w:w="0" w:type="dxa"/>
        </w:tblCellMar>
      </w:tblPr>
      <w:tblGrid>
        <w:gridCol w:w="733"/>
        <w:gridCol w:w="1723"/>
        <w:gridCol w:w="2298"/>
        <w:gridCol w:w="1060"/>
        <w:gridCol w:w="750"/>
        <w:gridCol w:w="1290"/>
        <w:gridCol w:w="930"/>
        <w:gridCol w:w="821"/>
        <w:gridCol w:w="824"/>
        <w:gridCol w:w="485"/>
        <w:gridCol w:w="609"/>
        <w:gridCol w:w="2465"/>
      </w:tblGrid>
      <w:tr>
        <w:tblPrEx>
          <w:shd w:val="clear" w:color="auto" w:fill="auto"/>
          <w:tblCellMar>
            <w:top w:w="0" w:type="dxa"/>
            <w:left w:w="0" w:type="dxa"/>
            <w:bottom w:w="0" w:type="dxa"/>
            <w:right w:w="0" w:type="dxa"/>
          </w:tblCellMar>
        </w:tblPrEx>
        <w:trPr>
          <w:trHeight w:val="677"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b/>
                <w:i w:val="0"/>
                <w:color w:val="000000"/>
                <w:kern w:val="0"/>
                <w:sz w:val="32"/>
                <w:szCs w:val="32"/>
                <w:u w:val="none"/>
                <w:lang w:val="en-US" w:eastAsia="zh-CN" w:bidi="ar"/>
              </w:rPr>
              <w:t>附件1： 十四五期间国家综合性消防救援队站建设任务表</w:t>
            </w:r>
          </w:p>
        </w:tc>
      </w:tr>
      <w:tr>
        <w:tblPrEx>
          <w:shd w:val="clear" w:color="auto" w:fill="auto"/>
          <w:tblCellMar>
            <w:top w:w="0" w:type="dxa"/>
            <w:left w:w="0" w:type="dxa"/>
            <w:bottom w:w="0" w:type="dxa"/>
            <w:right w:w="0" w:type="dxa"/>
          </w:tblCellMar>
        </w:tblPrEx>
        <w:trPr>
          <w:trHeight w:val="35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行政区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消防站全称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分类</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站房建设</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人员实力（人）</w:t>
            </w:r>
          </w:p>
        </w:tc>
      </w:tr>
      <w:tr>
        <w:tblPrEx>
          <w:shd w:val="clear" w:color="auto" w:fill="auto"/>
          <w:tblCellMar>
            <w:top w:w="0" w:type="dxa"/>
            <w:left w:w="0" w:type="dxa"/>
            <w:bottom w:w="0" w:type="dxa"/>
            <w:right w:w="0" w:type="dxa"/>
          </w:tblCellMar>
        </w:tblPrEx>
        <w:trPr>
          <w:trHeight w:val="677" w:hRule="atLeast"/>
        </w:trPr>
        <w:tc>
          <w:tcPr>
            <w:tcW w:w="0" w:type="auto"/>
            <w:vMerge w:val="continue"/>
            <w:tcBorders>
              <w:top w:val="single" w:color="000000" w:sz="4" w:space="0"/>
              <w:left w:val="single" w:color="000000" w:sz="4" w:space="0"/>
              <w:bottom w:val="single" w:color="000000" w:sz="4" w:space="0"/>
              <w:right w:val="single" w:color="000000" w:sz="4" w:space="0"/>
              <w:tl2br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14"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000000"/>
                <w:kern w:val="0"/>
                <w:sz w:val="18"/>
                <w:szCs w:val="18"/>
                <w:u w:val="none"/>
                <w:lang w:val="en-US" w:eastAsia="zh-CN" w:bidi="ar"/>
              </w:rPr>
              <w:t>房屋建筑</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国家综合性应急救援人员或政府专职队人员</w:t>
            </w:r>
          </w:p>
        </w:tc>
      </w:tr>
      <w:tr>
        <w:tblPrEx>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l2br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建造形式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建筑层数（层）</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占地面积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（平方米）</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建筑面积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（平方米）</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建设</w:t>
            </w:r>
            <w:r>
              <w:rPr>
                <w:rFonts w:hint="eastAsia" w:ascii="宋体" w:hAnsi="宋体" w:eastAsia="宋体" w:cs="宋体"/>
                <w:i w:val="0"/>
                <w:color w:val="auto"/>
                <w:kern w:val="0"/>
                <w:sz w:val="18"/>
                <w:szCs w:val="18"/>
                <w:u w:val="none"/>
                <w:lang w:val="en-US" w:eastAsia="zh-CN" w:bidi="ar"/>
              </w:rPr>
              <w:t>时间</w:t>
            </w:r>
          </w:p>
        </w:tc>
        <w:tc>
          <w:tcPr>
            <w:tcW w:w="0" w:type="auto"/>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应配备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计划配备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国家综合性应急救援人员或政府专职队人员</w:t>
            </w:r>
          </w:p>
        </w:tc>
      </w:tr>
      <w:tr>
        <w:tblPrEx>
          <w:shd w:val="clear" w:color="auto" w:fill="auto"/>
          <w:tblCellMar>
            <w:top w:w="0" w:type="dxa"/>
            <w:left w:w="0" w:type="dxa"/>
            <w:bottom w:w="0" w:type="dxa"/>
            <w:right w:w="0" w:type="dxa"/>
          </w:tblCellMar>
        </w:tblPrEx>
        <w:trPr>
          <w:trHeight w:val="67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原牧街</w:t>
            </w:r>
            <w:r>
              <w:rPr>
                <w:rFonts w:hint="eastAsia" w:ascii="宋体" w:hAnsi="宋体" w:eastAsia="宋体" w:cs="宋体"/>
                <w:i w:val="0"/>
                <w:color w:val="000000"/>
                <w:kern w:val="0"/>
                <w:sz w:val="18"/>
                <w:szCs w:val="18"/>
                <w:u w:val="none"/>
                <w:lang w:val="en-US" w:eastAsia="zh-CN" w:bidi="ar"/>
              </w:rPr>
              <w:t>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cs="宋体"/>
                <w:i w:val="0"/>
                <w:color w:val="000000"/>
                <w:sz w:val="18"/>
                <w:szCs w:val="18"/>
                <w:u w:val="none"/>
                <w:lang w:eastAsia="zh-CN"/>
              </w:rPr>
              <w:t>临河区原牧街与广牧路交汇处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二级普通消防站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政府代建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5200</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3575</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202</w:t>
            </w:r>
            <w:r>
              <w:rPr>
                <w:rFonts w:hint="eastAsia" w:ascii="宋体" w:hAnsi="宋体" w:cs="宋体"/>
                <w:i w:val="0"/>
                <w:color w:val="auto"/>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国家综合性应急救援人员</w:t>
            </w:r>
          </w:p>
        </w:tc>
      </w:tr>
      <w:tr>
        <w:tblPrEx>
          <w:shd w:val="clear" w:color="auto" w:fill="auto"/>
          <w:tblCellMar>
            <w:top w:w="0" w:type="dxa"/>
            <w:left w:w="0" w:type="dxa"/>
            <w:bottom w:w="0" w:type="dxa"/>
            <w:right w:w="0"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乌拉特大街消防站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临河区乌拉特大街</w:t>
            </w:r>
            <w:r>
              <w:rPr>
                <w:rFonts w:hint="eastAsia" w:ascii="宋体" w:hAnsi="宋体" w:cs="宋体"/>
                <w:i w:val="0"/>
                <w:color w:val="000000"/>
                <w:kern w:val="0"/>
                <w:sz w:val="18"/>
                <w:szCs w:val="18"/>
                <w:u w:val="none"/>
                <w:lang w:val="en-US" w:eastAsia="zh-CN" w:bidi="ar"/>
              </w:rPr>
              <w:t>与丰州路交汇处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小型消防站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政府代建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4940</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1200</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2023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政府专职</w:t>
            </w:r>
          </w:p>
        </w:tc>
      </w:tr>
      <w:tr>
        <w:tblPrEx>
          <w:shd w:val="clear" w:color="auto" w:fill="auto"/>
          <w:tblCellMar>
            <w:top w:w="0" w:type="dxa"/>
            <w:left w:w="0" w:type="dxa"/>
            <w:bottom w:w="0" w:type="dxa"/>
            <w:right w:w="0"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乌拉特前旗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白彦花大街消防救援站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乌拉特前旗乌拉山镇白彦花大街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二级普通消防站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政府代建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4200</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国家综合性应急救援人员</w:t>
            </w:r>
          </w:p>
        </w:tc>
      </w:tr>
      <w:tr>
        <w:tblPrEx>
          <w:shd w:val="clear" w:color="auto" w:fill="auto"/>
          <w:tblCellMar>
            <w:top w:w="0" w:type="dxa"/>
            <w:left w:w="0" w:type="dxa"/>
            <w:bottom w:w="0" w:type="dxa"/>
            <w:right w:w="0" w:type="dxa"/>
          </w:tblCellMar>
        </w:tblPrEx>
        <w:trPr>
          <w:trHeight w:val="67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乌拉前旗工业园区消防</w:t>
            </w:r>
            <w:r>
              <w:rPr>
                <w:rFonts w:hint="eastAsia" w:ascii="宋体" w:hAnsi="宋体" w:cs="宋体"/>
                <w:i w:val="0"/>
                <w:color w:val="000000"/>
                <w:kern w:val="0"/>
                <w:sz w:val="18"/>
                <w:szCs w:val="18"/>
                <w:u w:val="none"/>
                <w:lang w:val="en-US" w:eastAsia="zh-CN" w:bidi="ar"/>
              </w:rPr>
              <w:t>救援</w:t>
            </w:r>
            <w:r>
              <w:rPr>
                <w:rFonts w:hint="eastAsia" w:ascii="宋体" w:hAnsi="宋体" w:eastAsia="宋体" w:cs="宋体"/>
                <w:i w:val="0"/>
                <w:color w:val="000000"/>
                <w:kern w:val="0"/>
                <w:sz w:val="18"/>
                <w:szCs w:val="18"/>
                <w:u w:val="none"/>
                <w:lang w:val="en-US" w:eastAsia="zh-CN" w:bidi="ar"/>
              </w:rPr>
              <w:t>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乌拉特前旗先锋镇黑柳子工业园区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一级普通消防站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政府代建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16260</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政府专职</w:t>
            </w:r>
          </w:p>
        </w:tc>
      </w:tr>
      <w:tr>
        <w:tblPrEx>
          <w:tblCellMar>
            <w:top w:w="0" w:type="dxa"/>
            <w:left w:w="0" w:type="dxa"/>
            <w:bottom w:w="0" w:type="dxa"/>
            <w:right w:w="0"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杭锦后旗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杭锦后旗龙宝东街消防救援站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杭锦后旗陕坝镇龙宝东街南、酒业路西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小型消防站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政府代建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3000</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1200</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2024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国家综合性应急救援人员</w:t>
            </w:r>
          </w:p>
        </w:tc>
      </w:tr>
      <w:tr>
        <w:tblPrEx>
          <w:tblCellMar>
            <w:top w:w="0" w:type="dxa"/>
            <w:left w:w="0" w:type="dxa"/>
            <w:bottom w:w="0" w:type="dxa"/>
            <w:right w:w="0"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五原县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五原县团结路消防救援站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五原县隆兴昌镇团结路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小型消防站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政府代建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kern w:val="0"/>
                <w:sz w:val="18"/>
                <w:szCs w:val="18"/>
                <w:u w:val="none"/>
                <w:lang w:val="en-US" w:eastAsia="zh-CN" w:bidi="ar"/>
              </w:rPr>
            </w:pPr>
            <w:r>
              <w:rPr>
                <w:rFonts w:hint="eastAsia" w:ascii="宋体" w:hAnsi="宋体" w:cs="宋体"/>
                <w:i w:val="0"/>
                <w:color w:val="auto"/>
                <w:kern w:val="0"/>
                <w:sz w:val="18"/>
                <w:szCs w:val="18"/>
                <w:u w:val="none"/>
                <w:lang w:val="en-US" w:eastAsia="zh-CN" w:bidi="ar"/>
              </w:rPr>
              <w:t>3900</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1200</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国家综合性应急救援人员</w:t>
            </w:r>
          </w:p>
        </w:tc>
      </w:tr>
      <w:tr>
        <w:tblPrEx>
          <w:tblCellMar>
            <w:top w:w="0" w:type="dxa"/>
            <w:left w:w="0" w:type="dxa"/>
            <w:bottom w:w="0" w:type="dxa"/>
            <w:right w:w="0" w:type="dxa"/>
          </w:tblCellMar>
        </w:tblPrEx>
        <w:trPr>
          <w:trHeight w:val="5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水上救援综合训练基地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待定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培训基地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政府代建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25000</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6000</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w:t>
            </w:r>
            <w:r>
              <w:rPr>
                <w:rFonts w:hint="eastAsia" w:ascii="宋体" w:hAnsi="宋体" w:cs="宋体"/>
                <w:i w:val="0"/>
                <w:color w:val="auto"/>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国家综合性应急救援人员</w:t>
            </w:r>
          </w:p>
        </w:tc>
      </w:tr>
    </w:tbl>
    <w:p>
      <w:pPr>
        <w:rPr>
          <w:rFonts w:hint="eastAsia" w:ascii="仿宋_GB2312" w:hAnsi="仿宋_GB2312" w:eastAsia="仿宋_GB2312" w:cs="仿宋_GB2312"/>
          <w:snapToGrid w:val="0"/>
          <w:kern w:val="0"/>
          <w:sz w:val="32"/>
          <w:lang w:eastAsia="zh-CN"/>
        </w:rPr>
      </w:pPr>
    </w:p>
    <w:tbl>
      <w:tblPr>
        <w:tblStyle w:val="12"/>
        <w:tblW w:w="0" w:type="auto"/>
        <w:tblInd w:w="0" w:type="dxa"/>
        <w:shd w:val="clear" w:color="auto" w:fill="auto"/>
        <w:tblLayout w:type="autofit"/>
        <w:tblCellMar>
          <w:top w:w="0" w:type="dxa"/>
          <w:left w:w="0" w:type="dxa"/>
          <w:bottom w:w="0" w:type="dxa"/>
          <w:right w:w="0" w:type="dxa"/>
        </w:tblCellMar>
      </w:tblPr>
      <w:tblGrid>
        <w:gridCol w:w="390"/>
        <w:gridCol w:w="1143"/>
        <w:gridCol w:w="471"/>
        <w:gridCol w:w="471"/>
        <w:gridCol w:w="994"/>
        <w:gridCol w:w="733"/>
        <w:gridCol w:w="471"/>
        <w:gridCol w:w="733"/>
        <w:gridCol w:w="471"/>
        <w:gridCol w:w="733"/>
        <w:gridCol w:w="863"/>
        <w:gridCol w:w="471"/>
        <w:gridCol w:w="733"/>
        <w:gridCol w:w="863"/>
        <w:gridCol w:w="733"/>
        <w:gridCol w:w="733"/>
        <w:gridCol w:w="471"/>
        <w:gridCol w:w="994"/>
        <w:gridCol w:w="1517"/>
      </w:tblGrid>
      <w:tr>
        <w:tblPrEx>
          <w:shd w:val="clear" w:color="auto" w:fill="auto"/>
          <w:tblCellMar>
            <w:top w:w="0" w:type="dxa"/>
            <w:left w:w="0" w:type="dxa"/>
            <w:bottom w:w="0" w:type="dxa"/>
            <w:right w:w="0" w:type="dxa"/>
          </w:tblCellMar>
        </w:tblPrEx>
        <w:trPr>
          <w:trHeight w:val="357" w:hRule="atLeast"/>
        </w:trPr>
        <w:tc>
          <w:tcPr>
            <w:tcW w:w="13988"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2"/>
                <w:sz w:val="21"/>
                <w:lang w:val="en-US" w:eastAsia="zh-CN" w:bidi="ar-SA"/>
              </w:rPr>
            </w:pPr>
            <w:r>
              <w:rPr>
                <w:rFonts w:hint="eastAsia" w:ascii="黑体" w:hAnsi="宋体" w:eastAsia="黑体" w:cs="黑体"/>
                <w:b/>
                <w:i w:val="0"/>
                <w:color w:val="000000"/>
                <w:kern w:val="0"/>
                <w:sz w:val="32"/>
                <w:szCs w:val="32"/>
                <w:u w:val="none"/>
                <w:lang w:val="en-US" w:eastAsia="zh-CN" w:bidi="ar"/>
              </w:rPr>
              <w:t>附件2：“十四五”期间消防救援车辆装备建设规划表</w:t>
            </w:r>
          </w:p>
          <w:p>
            <w:pPr>
              <w:keepNext w:val="0"/>
              <w:keepLines w:val="0"/>
              <w:widowControl/>
              <w:suppressLineNumbers w:val="0"/>
              <w:jc w:val="center"/>
              <w:textAlignment w:val="top"/>
              <w:rPr>
                <w:rFonts w:hint="eastAsia" w:ascii="黑体" w:hAnsi="宋体" w:eastAsia="黑体" w:cs="黑体"/>
                <w:i w:val="0"/>
                <w:iCs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35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年度</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旗县</w:t>
            </w:r>
          </w:p>
        </w:tc>
        <w:tc>
          <w:tcPr>
            <w:tcW w:w="1245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全市消防车辆配备（单位：台）</w:t>
            </w:r>
          </w:p>
        </w:tc>
      </w:tr>
      <w:tr>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灭火类</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举高类</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专勤类</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保障类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其他类</w:t>
            </w:r>
          </w:p>
        </w:tc>
      </w:tr>
      <w:tr>
        <w:tblPrEx>
          <w:shd w:val="clear" w:color="auto" w:fill="auto"/>
          <w:tblCellMar>
            <w:top w:w="0" w:type="dxa"/>
            <w:left w:w="0" w:type="dxa"/>
            <w:bottom w:w="0" w:type="dxa"/>
            <w:right w:w="0" w:type="dxa"/>
          </w:tblCellMar>
        </w:tblPrEx>
        <w:trPr>
          <w:trHeight w:val="10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水罐车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r>
              <w:rPr>
                <w:rFonts w:hint="eastAsia" w:ascii="黑体" w:hAnsi="宋体" w:eastAsia="黑体" w:cs="黑体"/>
                <w:i w:val="0"/>
                <w:iCs w:val="0"/>
                <w:color w:val="000000"/>
                <w:kern w:val="0"/>
                <w:sz w:val="18"/>
                <w:szCs w:val="18"/>
                <w:u w:val="none"/>
                <w:lang w:val="en-US" w:eastAsia="zh-CN" w:bidi="ar"/>
              </w:rPr>
              <w:t>泡沫车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压缩空气泡沫车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多剂联用车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高喷车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登高平台车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云梯车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抢险救援车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大功率排烟车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照明车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防化洗消车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核生化侦检车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通信指挥车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远程供水车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保障车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自装卸式消防车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r>
              <w:rPr>
                <w:rFonts w:hint="eastAsia" w:ascii="黑体" w:hAnsi="宋体" w:eastAsia="黑体" w:cs="黑体"/>
                <w:i w:val="0"/>
                <w:iCs w:val="0"/>
                <w:color w:val="000000"/>
                <w:kern w:val="0"/>
                <w:sz w:val="18"/>
                <w:szCs w:val="18"/>
                <w:u w:val="none"/>
                <w:lang w:val="en-US" w:eastAsia="zh-CN" w:bidi="ar"/>
              </w:rPr>
              <w:t>工程车及其他新型消防车</w:t>
            </w:r>
          </w:p>
        </w:tc>
      </w:tr>
      <w:tr>
        <w:tblPrEx>
          <w:shd w:val="clear" w:color="auto" w:fill="auto"/>
          <w:tblCellMar>
            <w:top w:w="0" w:type="dxa"/>
            <w:left w:w="0" w:type="dxa"/>
            <w:bottom w:w="0" w:type="dxa"/>
            <w:right w:w="0" w:type="dxa"/>
          </w:tblCellMar>
        </w:tblPrEx>
        <w:trPr>
          <w:trHeight w:val="35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2021</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临河区</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r>
      <w:tr>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乌拉特前旗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r>
      <w:tr>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乌拉特中旗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r>
      <w:tr>
        <w:tblPrEx>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乌拉特后旗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杭锦后旗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五原县</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r>
              <w:rPr>
                <w:rFonts w:hint="eastAsia" w:ascii="黑体" w:hAnsi="宋体" w:eastAsia="黑体" w:cs="黑体"/>
                <w:i w:val="0"/>
                <w:iCs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磴口县</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r>
              <w:rPr>
                <w:rFonts w:hint="eastAsia" w:ascii="黑体" w:hAnsi="宋体" w:eastAsia="黑体" w:cs="黑体"/>
                <w:i w:val="0"/>
                <w:iCs w:val="0"/>
                <w:color w:val="000000"/>
                <w:kern w:val="0"/>
                <w:sz w:val="18"/>
                <w:szCs w:val="18"/>
                <w:u w:val="none"/>
                <w:lang w:val="en-US" w:eastAsia="zh-CN" w:bidi="ar"/>
              </w:rPr>
              <w:t xml:space="preserve"> </w:t>
            </w:r>
          </w:p>
        </w:tc>
      </w:tr>
      <w:tr>
        <w:tblPrEx>
          <w:shd w:val="clear" w:color="auto" w:fill="auto"/>
          <w:tblCellMar>
            <w:top w:w="0" w:type="dxa"/>
            <w:left w:w="0" w:type="dxa"/>
            <w:bottom w:w="0" w:type="dxa"/>
            <w:right w:w="0" w:type="dxa"/>
          </w:tblCellMar>
        </w:tblPrEx>
        <w:trPr>
          <w:trHeight w:val="6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经济技术开发区</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r>
      <w:tr>
        <w:tblPrEx>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支队本级</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r>
      <w:tr>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宋体" w:hAnsi="宋体" w:eastAsia="宋体" w:cs="宋体"/>
                <w:i w:val="0"/>
                <w:iCs w:val="0"/>
                <w:color w:val="000000"/>
                <w:kern w:val="0"/>
                <w:sz w:val="18"/>
                <w:szCs w:val="18"/>
                <w:u w:val="none"/>
                <w:lang w:val="en-US" w:eastAsia="zh-CN" w:bidi="ar"/>
              </w:rPr>
              <w:t>小计</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r>
              <w:rPr>
                <w:rFonts w:hint="default" w:ascii="Calibri" w:hAnsi="Calibri" w:eastAsia="宋体" w:cs="Calibri"/>
                <w:i w:val="0"/>
                <w:iCs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5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2022</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临河区</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r>
              <w:rPr>
                <w:rFonts w:hint="eastAsia" w:ascii="黑体" w:hAnsi="宋体" w:eastAsia="黑体" w:cs="黑体"/>
                <w:i w:val="0"/>
                <w:iCs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乌拉特前旗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乌拉特中旗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r>
      <w:tr>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乌拉特后旗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sz w:val="18"/>
                <w:szCs w:val="18"/>
              </w:rPr>
            </w:pPr>
          </w:p>
        </w:tc>
      </w:tr>
      <w:tr>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杭锦后旗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sz w:val="18"/>
                <w:szCs w:val="18"/>
              </w:rPr>
            </w:pPr>
          </w:p>
        </w:tc>
      </w:tr>
      <w:tr>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五原县</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r>
      <w:tr>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磴口县</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shd w:val="clear" w:color="auto" w:fill="auto"/>
          <w:tblCellMar>
            <w:top w:w="0" w:type="dxa"/>
            <w:left w:w="0" w:type="dxa"/>
            <w:bottom w:w="0" w:type="dxa"/>
            <w:right w:w="0" w:type="dxa"/>
          </w:tblCellMar>
        </w:tblPrEx>
        <w:trPr>
          <w:trHeight w:val="6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经济技术开发区</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支队本级</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宋体" w:hAnsi="宋体" w:eastAsia="宋体" w:cs="宋体"/>
                <w:i w:val="0"/>
                <w:iCs w:val="0"/>
                <w:color w:val="000000"/>
                <w:kern w:val="0"/>
                <w:sz w:val="18"/>
                <w:szCs w:val="18"/>
                <w:u w:val="none"/>
                <w:lang w:val="en-US" w:eastAsia="zh-CN" w:bidi="ar"/>
              </w:rPr>
              <w:t>小计</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r>
              <w:rPr>
                <w:rFonts w:hint="eastAsia" w:ascii="黑体" w:hAnsi="宋体" w:eastAsia="黑体" w:cs="黑体"/>
                <w:i w:val="0"/>
                <w:iCs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5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2023</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临河区</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乌拉特前旗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乌拉特中旗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r>
      <w:tr>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乌拉特后旗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杭锦后旗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五原县</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磴口县</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r>
      <w:tr>
        <w:tblPrEx>
          <w:shd w:val="clear" w:color="auto" w:fill="auto"/>
          <w:tblCellMar>
            <w:top w:w="0" w:type="dxa"/>
            <w:left w:w="0" w:type="dxa"/>
            <w:bottom w:w="0" w:type="dxa"/>
            <w:right w:w="0" w:type="dxa"/>
          </w:tblCellMar>
        </w:tblPrEx>
        <w:trPr>
          <w:trHeight w:val="6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经济技术开发区</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支队本级</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宋体" w:hAnsi="宋体" w:eastAsia="宋体" w:cs="宋体"/>
                <w:i w:val="0"/>
                <w:iCs w:val="0"/>
                <w:color w:val="000000"/>
                <w:kern w:val="0"/>
                <w:sz w:val="18"/>
                <w:szCs w:val="18"/>
                <w:u w:val="none"/>
                <w:lang w:val="en-US" w:eastAsia="zh-CN" w:bidi="ar"/>
              </w:rPr>
              <w:t>小计</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shd w:val="clear" w:color="auto" w:fill="auto"/>
          <w:tblCellMar>
            <w:top w:w="0" w:type="dxa"/>
            <w:left w:w="0" w:type="dxa"/>
            <w:bottom w:w="0" w:type="dxa"/>
            <w:right w:w="0" w:type="dxa"/>
          </w:tblCellMar>
        </w:tblPrEx>
        <w:trPr>
          <w:trHeight w:val="35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2024</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临河区</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乌拉特前旗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乌拉特中旗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乌拉特后旗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sz w:val="18"/>
                <w:szCs w:val="18"/>
              </w:rPr>
            </w:pPr>
          </w:p>
        </w:tc>
      </w:tr>
      <w:tr>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杭锦后旗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auto"/>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五原县</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磴口县</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经济技术开发区</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支队本级</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shd w:val="clear" w:color="auto" w:fill="auto"/>
          <w:tblCellMar>
            <w:top w:w="0" w:type="dxa"/>
            <w:left w:w="0" w:type="dxa"/>
            <w:bottom w:w="0" w:type="dxa"/>
            <w:right w:w="0" w:type="dxa"/>
          </w:tblCellMar>
        </w:tblPrEx>
        <w:trPr>
          <w:trHeight w:val="3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宋体" w:hAnsi="宋体" w:eastAsia="宋体" w:cs="宋体"/>
                <w:i w:val="0"/>
                <w:iCs w:val="0"/>
                <w:color w:val="000000"/>
                <w:kern w:val="0"/>
                <w:sz w:val="18"/>
                <w:szCs w:val="18"/>
                <w:u w:val="none"/>
                <w:lang w:val="en-US" w:eastAsia="zh-CN" w:bidi="ar"/>
              </w:rPr>
              <w:t>小计</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sz w:val="18"/>
                <w:szCs w:val="18"/>
              </w:rPr>
            </w:pPr>
            <w:r>
              <w:rPr>
                <w:rFonts w:hint="eastAsia" w:ascii="黑体" w:hAnsi="宋体" w:eastAsia="黑体" w:cs="黑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shd w:val="clear" w:color="auto" w:fill="auto"/>
          <w:tblCellMar>
            <w:top w:w="0" w:type="dxa"/>
            <w:left w:w="0" w:type="dxa"/>
            <w:bottom w:w="0" w:type="dxa"/>
            <w:right w:w="0" w:type="dxa"/>
          </w:tblCellMar>
        </w:tblPrEx>
        <w:trPr>
          <w:trHeight w:val="35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2025</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临河区</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乌拉特前旗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color w:val="FF0000"/>
                <w:kern w:val="0"/>
                <w:sz w:val="18"/>
                <w:szCs w:val="18"/>
              </w:rPr>
            </w:pPr>
            <w:r>
              <w:rPr>
                <w:rFonts w:hint="eastAsia" w:ascii="黑体" w:hAnsi="宋体" w:eastAsia="黑体" w:cs="黑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FF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color w:val="FF000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乌拉特中旗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乌拉特后旗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杭锦后旗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五原县</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14:textFill>
                  <w14:gradFill>
                    <w14:gsLst>
                      <w14:gs w14:pos="0">
                        <w14:srgbClr w14:val="007BD3"/>
                      </w14:gs>
                      <w14:gs w14:pos="100000">
                        <w14:srgbClr w14:val="034373"/>
                      </w14:gs>
                    </w14:gsLst>
                    <w14:lin w14:scaled="0"/>
                  </w14:gra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磴口县</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6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经济技术开发区</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支队本级</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宋体" w:hAnsi="宋体" w:eastAsia="宋体" w:cs="宋体"/>
                <w:i w:val="0"/>
                <w:iCs w:val="0"/>
                <w:color w:val="000000"/>
                <w:kern w:val="0"/>
                <w:sz w:val="18"/>
                <w:szCs w:val="18"/>
                <w:u w:val="none"/>
                <w:lang w:val="en-US" w:eastAsia="zh-CN" w:bidi="ar"/>
              </w:rPr>
              <w:t>小计</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总计</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46</w:t>
            </w:r>
          </w:p>
        </w:tc>
        <w:tc>
          <w:tcPr>
            <w:tcW w:w="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w:t>
            </w:r>
          </w:p>
        </w:tc>
      </w:tr>
    </w:tbl>
    <w:p>
      <w:pPr>
        <w:rPr>
          <w:rFonts w:hint="eastAsia" w:ascii="仿宋_GB2312" w:hAnsi="仿宋_GB2312" w:eastAsia="仿宋_GB2312" w:cs="仿宋_GB2312"/>
          <w:snapToGrid w:val="0"/>
          <w:kern w:val="0"/>
          <w:sz w:val="32"/>
          <w:lang w:eastAsia="zh-CN"/>
        </w:rPr>
      </w:pPr>
      <w:r>
        <w:rPr>
          <w:rFonts w:hint="eastAsia" w:ascii="仿宋_GB2312" w:hAnsi="仿宋_GB2312" w:eastAsia="仿宋_GB2312" w:cs="仿宋_GB2312"/>
          <w:snapToGrid w:val="0"/>
          <w:kern w:val="0"/>
          <w:sz w:val="18"/>
          <w:szCs w:val="18"/>
          <w:lang w:eastAsia="zh-CN"/>
        </w:rPr>
        <w:br w:type="page"/>
      </w:r>
    </w:p>
    <w:tbl>
      <w:tblPr>
        <w:tblStyle w:val="12"/>
        <w:tblW w:w="0" w:type="auto"/>
        <w:tblInd w:w="0" w:type="dxa"/>
        <w:shd w:val="clear" w:color="auto" w:fill="auto"/>
        <w:tblLayout w:type="autofit"/>
        <w:tblCellMar>
          <w:top w:w="0" w:type="dxa"/>
          <w:left w:w="0" w:type="dxa"/>
          <w:bottom w:w="0" w:type="dxa"/>
          <w:right w:w="0" w:type="dxa"/>
        </w:tblCellMar>
      </w:tblPr>
      <w:tblGrid>
        <w:gridCol w:w="1052"/>
        <w:gridCol w:w="931"/>
        <w:gridCol w:w="931"/>
        <w:gridCol w:w="646"/>
        <w:gridCol w:w="646"/>
        <w:gridCol w:w="646"/>
        <w:gridCol w:w="646"/>
        <w:gridCol w:w="603"/>
        <w:gridCol w:w="603"/>
        <w:gridCol w:w="603"/>
        <w:gridCol w:w="845"/>
        <w:gridCol w:w="689"/>
        <w:gridCol w:w="689"/>
        <w:gridCol w:w="646"/>
        <w:gridCol w:w="480"/>
        <w:gridCol w:w="767"/>
        <w:gridCol w:w="725"/>
        <w:gridCol w:w="725"/>
        <w:gridCol w:w="725"/>
        <w:gridCol w:w="390"/>
      </w:tblGrid>
      <w:tr>
        <w:tblPrEx>
          <w:shd w:val="clear" w:color="auto" w:fill="auto"/>
          <w:tblCellMar>
            <w:top w:w="0" w:type="dxa"/>
            <w:left w:w="0" w:type="dxa"/>
            <w:bottom w:w="0" w:type="dxa"/>
            <w:right w:w="0" w:type="dxa"/>
          </w:tblCellMar>
        </w:tblPrEx>
        <w:trPr>
          <w:trHeight w:val="1052" w:hRule="atLeast"/>
        </w:trPr>
        <w:tc>
          <w:tcPr>
            <w:tcW w:w="0" w:type="auto"/>
            <w:gridSpan w:val="2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
              </w:rPr>
              <w:t>附件3：巴彦淖尔市“十四五”期间消防救援队伍器材装备配备规划表</w:t>
            </w:r>
          </w:p>
        </w:tc>
      </w:tr>
      <w:tr>
        <w:tblPrEx>
          <w:shd w:val="clear" w:color="auto" w:fill="auto"/>
          <w:tblCellMar>
            <w:top w:w="0" w:type="dxa"/>
            <w:left w:w="0" w:type="dxa"/>
            <w:bottom w:w="0" w:type="dxa"/>
            <w:right w:w="0" w:type="dxa"/>
          </w:tblCellMar>
        </w:tblPrEx>
        <w:trPr>
          <w:trHeight w:val="54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旗县</w:t>
            </w:r>
          </w:p>
        </w:tc>
        <w:tc>
          <w:tcPr>
            <w:tcW w:w="0" w:type="auto"/>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全市消防器材配备〔单位：件（套）〕</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全市消防灭火剂配备〔单位：吨〕</w:t>
            </w:r>
          </w:p>
        </w:tc>
      </w:tr>
      <w:tr>
        <w:tblPrEx>
          <w:shd w:val="clear" w:color="auto" w:fill="auto"/>
          <w:tblCellMar>
            <w:top w:w="0" w:type="dxa"/>
            <w:left w:w="0" w:type="dxa"/>
            <w:bottom w:w="0" w:type="dxa"/>
            <w:right w:w="0" w:type="dxa"/>
          </w:tblCellMar>
        </w:tblPrEx>
        <w:trPr>
          <w:trHeight w:val="10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基本防护装备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特种防护装备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侦检器材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警戒器材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救生器材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破拆器材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堵漏器材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输转器材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洗消器材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照明排烟器材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输水器材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射水器材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泡沫灭火剂</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干粉灭火剂</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气体灭火剂</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其他灭火剂</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r>
      <w:tr>
        <w:tblPrEx>
          <w:shd w:val="clear" w:color="auto" w:fill="auto"/>
          <w:tblCellMar>
            <w:top w:w="0" w:type="dxa"/>
            <w:left w:w="0" w:type="dxa"/>
            <w:bottom w:w="0" w:type="dxa"/>
            <w:right w:w="0" w:type="dxa"/>
          </w:tblCellMar>
        </w:tblPrEx>
        <w:trPr>
          <w:trHeight w:val="5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宋体" w:cs="Tahoma"/>
                <w:i w:val="0"/>
                <w:color w:val="000000"/>
                <w:sz w:val="18"/>
                <w:szCs w:val="18"/>
                <w:u w:val="none"/>
                <w:lang w:val="en-US" w:eastAsia="zh-CN"/>
              </w:rPr>
            </w:pPr>
            <w:r>
              <w:rPr>
                <w:rFonts w:hint="eastAsia" w:ascii="Tahoma" w:hAnsi="Tahoma" w:eastAsia="宋体" w:cs="Tahoma"/>
                <w:i w:val="0"/>
                <w:color w:val="000000"/>
                <w:sz w:val="18"/>
                <w:szCs w:val="18"/>
                <w:u w:val="none"/>
                <w:lang w:val="en-US" w:eastAsia="zh-CN"/>
              </w:rPr>
              <w:t>100</w:t>
            </w:r>
          </w:p>
        </w:tc>
      </w:tr>
      <w:tr>
        <w:tblPrEx>
          <w:shd w:val="clear" w:color="auto" w:fill="auto"/>
          <w:tblCellMar>
            <w:top w:w="0" w:type="dxa"/>
            <w:left w:w="0" w:type="dxa"/>
            <w:bottom w:w="0" w:type="dxa"/>
            <w:right w:w="0" w:type="dxa"/>
          </w:tblCellMar>
        </w:tblPrEx>
        <w:trPr>
          <w:trHeight w:val="5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乌拉特前旗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宋体" w:cs="Tahoma"/>
                <w:i w:val="0"/>
                <w:color w:val="000000"/>
                <w:sz w:val="18"/>
                <w:szCs w:val="18"/>
                <w:u w:val="none"/>
                <w:lang w:val="en-US" w:eastAsia="zh-CN"/>
              </w:rPr>
            </w:pPr>
            <w:r>
              <w:rPr>
                <w:rFonts w:hint="eastAsia" w:ascii="Tahoma" w:hAnsi="Tahoma" w:eastAsia="宋体" w:cs="Tahoma"/>
                <w:i w:val="0"/>
                <w:color w:val="000000"/>
                <w:sz w:val="18"/>
                <w:szCs w:val="18"/>
                <w:u w:val="none"/>
                <w:lang w:val="en-US" w:eastAsia="zh-CN"/>
              </w:rPr>
              <w:t>50</w:t>
            </w:r>
          </w:p>
        </w:tc>
      </w:tr>
      <w:tr>
        <w:tblPrEx>
          <w:shd w:val="clear" w:color="auto" w:fill="auto"/>
          <w:tblCellMar>
            <w:top w:w="0" w:type="dxa"/>
            <w:left w:w="0" w:type="dxa"/>
            <w:bottom w:w="0" w:type="dxa"/>
            <w:right w:w="0" w:type="dxa"/>
          </w:tblCellMar>
        </w:tblPrEx>
        <w:trPr>
          <w:trHeight w:val="3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乌拉特中旗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ahoma" w:hAnsi="Tahoma" w:eastAsia="宋体" w:cs="Tahoma"/>
                <w:i w:val="0"/>
                <w:color w:val="000000"/>
                <w:sz w:val="18"/>
                <w:szCs w:val="18"/>
                <w:u w:val="none"/>
                <w:lang w:val="en-US" w:eastAsia="zh-CN"/>
              </w:rPr>
            </w:pPr>
            <w:r>
              <w:rPr>
                <w:rFonts w:hint="eastAsia" w:ascii="Tahoma" w:hAnsi="Tahoma" w:eastAsia="宋体" w:cs="Tahoma"/>
                <w:i w:val="0"/>
                <w:color w:val="000000"/>
                <w:sz w:val="18"/>
                <w:szCs w:val="18"/>
                <w:u w:val="none"/>
                <w:lang w:val="en-US" w:eastAsia="zh-CN"/>
              </w:rPr>
              <w:t>5</w:t>
            </w:r>
          </w:p>
        </w:tc>
      </w:tr>
      <w:tr>
        <w:tblPrEx>
          <w:shd w:val="clear" w:color="auto" w:fill="auto"/>
          <w:tblCellMar>
            <w:top w:w="0" w:type="dxa"/>
            <w:left w:w="0" w:type="dxa"/>
            <w:bottom w:w="0" w:type="dxa"/>
            <w:right w:w="0"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乌拉特后旗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宋体" w:cs="Tahoma"/>
                <w:i w:val="0"/>
                <w:color w:val="000000"/>
                <w:sz w:val="18"/>
                <w:szCs w:val="18"/>
                <w:u w:val="none"/>
                <w:lang w:val="en-US" w:eastAsia="zh-CN"/>
              </w:rPr>
            </w:pPr>
            <w:r>
              <w:rPr>
                <w:rFonts w:hint="eastAsia" w:ascii="Tahoma" w:hAnsi="Tahoma" w:eastAsia="宋体" w:cs="Tahoma"/>
                <w:i w:val="0"/>
                <w:color w:val="000000"/>
                <w:sz w:val="18"/>
                <w:szCs w:val="18"/>
                <w:u w:val="none"/>
                <w:lang w:val="en-US" w:eastAsia="zh-CN"/>
              </w:rPr>
              <w:t>30</w:t>
            </w:r>
          </w:p>
        </w:tc>
      </w:tr>
      <w:tr>
        <w:tblPrEx>
          <w:shd w:val="clear" w:color="auto" w:fill="auto"/>
          <w:tblCellMar>
            <w:top w:w="0" w:type="dxa"/>
            <w:left w:w="0" w:type="dxa"/>
            <w:bottom w:w="0" w:type="dxa"/>
            <w:right w:w="0" w:type="dxa"/>
          </w:tblCellMar>
        </w:tblPrEx>
        <w:trPr>
          <w:trHeight w:val="3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杭锦后旗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宋体" w:cs="Tahoma"/>
                <w:i w:val="0"/>
                <w:color w:val="000000"/>
                <w:sz w:val="18"/>
                <w:szCs w:val="18"/>
                <w:u w:val="none"/>
                <w:lang w:val="en-US" w:eastAsia="zh-CN"/>
              </w:rPr>
            </w:pPr>
            <w:r>
              <w:rPr>
                <w:rFonts w:hint="eastAsia" w:ascii="Tahoma" w:hAnsi="Tahoma" w:eastAsia="宋体" w:cs="Tahoma"/>
                <w:i w:val="0"/>
                <w:color w:val="000000"/>
                <w:sz w:val="18"/>
                <w:szCs w:val="18"/>
                <w:u w:val="none"/>
                <w:lang w:val="en-US" w:eastAsia="zh-CN"/>
              </w:rPr>
              <w:t>10</w:t>
            </w:r>
          </w:p>
        </w:tc>
      </w:tr>
      <w:tr>
        <w:tblPrEx>
          <w:shd w:val="clear" w:color="auto" w:fill="auto"/>
          <w:tblCellMar>
            <w:top w:w="0" w:type="dxa"/>
            <w:left w:w="0" w:type="dxa"/>
            <w:bottom w:w="0" w:type="dxa"/>
            <w:right w:w="0" w:type="dxa"/>
          </w:tblCellMar>
        </w:tblPrEx>
        <w:trPr>
          <w:trHeight w:val="5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五原县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宋体" w:cs="Tahoma"/>
                <w:i w:val="0"/>
                <w:color w:val="000000"/>
                <w:sz w:val="18"/>
                <w:szCs w:val="18"/>
                <w:u w:val="none"/>
                <w:lang w:val="en-US" w:eastAsia="zh-CN"/>
              </w:rPr>
            </w:pPr>
            <w:r>
              <w:rPr>
                <w:rFonts w:hint="eastAsia" w:ascii="Tahoma" w:hAnsi="Tahoma" w:eastAsia="宋体" w:cs="Tahoma"/>
                <w:i w:val="0"/>
                <w:color w:val="000000"/>
                <w:sz w:val="18"/>
                <w:szCs w:val="18"/>
                <w:u w:val="none"/>
                <w:lang w:val="en-US" w:eastAsia="zh-CN"/>
              </w:rPr>
              <w:t>25</w:t>
            </w:r>
          </w:p>
        </w:tc>
      </w:tr>
      <w:tr>
        <w:tblPrEx>
          <w:tblCellMar>
            <w:top w:w="0" w:type="dxa"/>
            <w:left w:w="0" w:type="dxa"/>
            <w:bottom w:w="0" w:type="dxa"/>
            <w:right w:w="0" w:type="dxa"/>
          </w:tblCellMar>
        </w:tblPrEx>
        <w:trPr>
          <w:trHeight w:val="5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磴口县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宋体" w:cs="Tahoma"/>
                <w:i w:val="0"/>
                <w:color w:val="000000"/>
                <w:sz w:val="18"/>
                <w:szCs w:val="18"/>
                <w:u w:val="none"/>
                <w:lang w:val="en-US" w:eastAsia="zh-CN"/>
              </w:rPr>
            </w:pPr>
            <w:r>
              <w:rPr>
                <w:rFonts w:hint="eastAsia" w:ascii="Tahoma" w:hAnsi="Tahoma" w:eastAsia="宋体" w:cs="Tahoma"/>
                <w:i w:val="0"/>
                <w:color w:val="000000"/>
                <w:sz w:val="18"/>
                <w:szCs w:val="18"/>
                <w:u w:val="none"/>
                <w:lang w:val="en-US" w:eastAsia="zh-CN"/>
              </w:rPr>
              <w:t>30</w:t>
            </w:r>
          </w:p>
        </w:tc>
      </w:tr>
      <w:tr>
        <w:tblPrEx>
          <w:tblCellMar>
            <w:top w:w="0" w:type="dxa"/>
            <w:left w:w="0" w:type="dxa"/>
            <w:bottom w:w="0" w:type="dxa"/>
            <w:right w:w="0" w:type="dxa"/>
          </w:tblCellMar>
        </w:tblPrEx>
        <w:trPr>
          <w:trHeight w:val="8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经济技术开发区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宋体" w:cs="Tahoma"/>
                <w:i w:val="0"/>
                <w:color w:val="000000"/>
                <w:sz w:val="18"/>
                <w:szCs w:val="18"/>
                <w:u w:val="none"/>
                <w:lang w:val="en-US" w:eastAsia="zh-CN"/>
              </w:rPr>
            </w:pPr>
            <w:r>
              <w:rPr>
                <w:rFonts w:hint="eastAsia" w:ascii="Tahoma" w:hAnsi="Tahoma" w:eastAsia="宋体" w:cs="Tahoma"/>
                <w:i w:val="0"/>
                <w:color w:val="000000"/>
                <w:sz w:val="18"/>
                <w:szCs w:val="18"/>
                <w:u w:val="none"/>
                <w:lang w:val="en-US" w:eastAsia="zh-CN"/>
              </w:rPr>
              <w:t>25</w:t>
            </w:r>
          </w:p>
        </w:tc>
      </w:tr>
      <w:tr>
        <w:tblPrEx>
          <w:tblCellMar>
            <w:top w:w="0" w:type="dxa"/>
            <w:left w:w="0" w:type="dxa"/>
            <w:bottom w:w="0" w:type="dxa"/>
            <w:right w:w="0" w:type="dxa"/>
          </w:tblCellMar>
        </w:tblPrEx>
        <w:trPr>
          <w:trHeight w:val="5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支队本级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1857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1187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3819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color w:val="000000" w:themeColor="text1"/>
                <w:sz w:val="18"/>
                <w:szCs w:val="18"/>
                <w:u w:val="none"/>
                <w:lang w:val="en-US" w:eastAsia="zh-CN"/>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color w:val="000000" w:themeColor="text1"/>
                <w:sz w:val="18"/>
                <w:szCs w:val="18"/>
                <w:u w:val="none"/>
                <w:lang w:val="en-US" w:eastAsia="zh-CN"/>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color w:val="000000" w:themeColor="text1"/>
                <w:sz w:val="18"/>
                <w:szCs w:val="18"/>
                <w:u w:val="none"/>
                <w:lang w:val="en-US" w:eastAsia="zh-CN"/>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宋体" w:cs="Tahoma"/>
                <w:i w:val="0"/>
                <w:color w:val="000000" w:themeColor="text1"/>
                <w:sz w:val="18"/>
                <w:szCs w:val="18"/>
                <w:u w:val="none"/>
                <w:lang w:val="en-US" w:eastAsia="zh-CN"/>
                <w14:textFill>
                  <w14:solidFill>
                    <w14:schemeClr w14:val="tx1"/>
                  </w14:solidFill>
                </w14:textFill>
              </w:rPr>
            </w:pPr>
            <w:r>
              <w:rPr>
                <w:rFonts w:hint="eastAsia" w:ascii="Tahoma" w:hAnsi="Tahoma" w:eastAsia="宋体" w:cs="Tahoma"/>
                <w:i w:val="0"/>
                <w:color w:val="000000" w:themeColor="text1"/>
                <w:sz w:val="18"/>
                <w:szCs w:val="18"/>
                <w:u w:val="none"/>
                <w:lang w:val="en-US" w:eastAsia="zh-CN"/>
                <w14:textFill>
                  <w14:solidFill>
                    <w14:schemeClr w14:val="tx1"/>
                  </w14:solidFill>
                </w14:textFill>
              </w:rPr>
              <w:t>20</w:t>
            </w:r>
          </w:p>
        </w:tc>
      </w:tr>
      <w:tr>
        <w:tblPrEx>
          <w:tblCellMar>
            <w:top w:w="0" w:type="dxa"/>
            <w:left w:w="0" w:type="dxa"/>
            <w:bottom w:w="0" w:type="dxa"/>
            <w:right w:w="0" w:type="dxa"/>
          </w:tblCellMar>
        </w:tblPrEx>
        <w:trPr>
          <w:trHeight w:val="5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6547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2787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768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1594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926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15123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color w:val="000000" w:themeColor="text1"/>
                <w:sz w:val="18"/>
                <w:szCs w:val="18"/>
                <w:u w:val="none"/>
                <w:lang w:val="en-US" w:eastAsia="zh-CN"/>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color w:val="000000" w:themeColor="text1"/>
                <w:sz w:val="18"/>
                <w:szCs w:val="18"/>
                <w:u w:val="none"/>
                <w:lang w:val="en-US" w:eastAsia="zh-CN"/>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color w:val="000000" w:themeColor="text1"/>
                <w:sz w:val="18"/>
                <w:szCs w:val="18"/>
                <w:u w:val="none"/>
                <w:lang w:val="en-US" w:eastAsia="zh-CN"/>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宋体" w:cs="Tahoma"/>
                <w:i w:val="0"/>
                <w:color w:val="000000" w:themeColor="text1"/>
                <w:sz w:val="18"/>
                <w:szCs w:val="18"/>
                <w:u w:val="none"/>
                <w:lang w:val="en-US" w:eastAsia="zh-CN"/>
                <w14:textFill>
                  <w14:solidFill>
                    <w14:schemeClr w14:val="tx1"/>
                  </w14:solidFill>
                </w14:textFill>
              </w:rPr>
            </w:pPr>
            <w:r>
              <w:rPr>
                <w:rFonts w:hint="eastAsia" w:ascii="Tahoma" w:hAnsi="Tahoma" w:eastAsia="宋体" w:cs="Tahoma"/>
                <w:i w:val="0"/>
                <w:color w:val="000000" w:themeColor="text1"/>
                <w:sz w:val="18"/>
                <w:szCs w:val="18"/>
                <w:u w:val="none"/>
                <w:lang w:val="en-US" w:eastAsia="zh-CN"/>
                <w14:textFill>
                  <w14:solidFill>
                    <w14:schemeClr w14:val="tx1"/>
                  </w14:solidFill>
                </w14:textFill>
              </w:rPr>
              <w:t>295</w:t>
            </w:r>
          </w:p>
        </w:tc>
      </w:tr>
    </w:tbl>
    <w:p>
      <w:pPr>
        <w:rPr>
          <w:rFonts w:hint="eastAsia" w:ascii="仿宋_GB2312" w:hAnsi="仿宋_GB2312" w:eastAsia="仿宋_GB2312" w:cs="仿宋_GB2312"/>
          <w:snapToGrid w:val="0"/>
          <w:kern w:val="0"/>
          <w:sz w:val="32"/>
          <w:lang w:eastAsia="zh-CN"/>
        </w:rPr>
      </w:pPr>
      <w:r>
        <w:rPr>
          <w:rFonts w:hint="eastAsia" w:ascii="仿宋_GB2312" w:hAnsi="仿宋_GB2312" w:eastAsia="仿宋_GB2312" w:cs="仿宋_GB2312"/>
          <w:snapToGrid w:val="0"/>
          <w:kern w:val="0"/>
          <w:sz w:val="18"/>
          <w:szCs w:val="18"/>
          <w:lang w:eastAsia="zh-CN"/>
        </w:rPr>
        <w:br w:type="page"/>
      </w:r>
    </w:p>
    <w:tbl>
      <w:tblPr>
        <w:tblStyle w:val="12"/>
        <w:tblW w:w="0" w:type="auto"/>
        <w:tblInd w:w="0" w:type="dxa"/>
        <w:shd w:val="clear" w:color="auto" w:fill="auto"/>
        <w:tblLayout w:type="autofit"/>
        <w:tblCellMar>
          <w:top w:w="0" w:type="dxa"/>
          <w:left w:w="0" w:type="dxa"/>
          <w:bottom w:w="0" w:type="dxa"/>
          <w:right w:w="0" w:type="dxa"/>
        </w:tblCellMar>
      </w:tblPr>
      <w:tblGrid>
        <w:gridCol w:w="1172"/>
        <w:gridCol w:w="550"/>
        <w:gridCol w:w="550"/>
        <w:gridCol w:w="380"/>
        <w:gridCol w:w="541"/>
        <w:gridCol w:w="531"/>
        <w:gridCol w:w="541"/>
        <w:gridCol w:w="531"/>
        <w:gridCol w:w="520"/>
        <w:gridCol w:w="563"/>
        <w:gridCol w:w="567"/>
        <w:gridCol w:w="555"/>
        <w:gridCol w:w="555"/>
        <w:gridCol w:w="541"/>
        <w:gridCol w:w="541"/>
        <w:gridCol w:w="531"/>
        <w:gridCol w:w="531"/>
        <w:gridCol w:w="541"/>
        <w:gridCol w:w="541"/>
        <w:gridCol w:w="531"/>
        <w:gridCol w:w="531"/>
        <w:gridCol w:w="541"/>
        <w:gridCol w:w="541"/>
        <w:gridCol w:w="531"/>
        <w:gridCol w:w="531"/>
      </w:tblGrid>
      <w:tr>
        <w:tblPrEx>
          <w:shd w:val="clear" w:color="auto" w:fill="auto"/>
          <w:tblCellMar>
            <w:top w:w="0" w:type="dxa"/>
            <w:left w:w="0" w:type="dxa"/>
            <w:bottom w:w="0" w:type="dxa"/>
            <w:right w:w="0" w:type="dxa"/>
          </w:tblCellMar>
        </w:tblPrEx>
        <w:trPr>
          <w:trHeight w:val="983" w:hRule="atLeast"/>
        </w:trPr>
        <w:tc>
          <w:tcPr>
            <w:tcW w:w="0" w:type="auto"/>
            <w:gridSpan w:val="2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黑体" w:hAnsi="宋体" w:eastAsia="黑体" w:cs="黑体"/>
                <w:b/>
                <w:i w:val="0"/>
                <w:color w:val="000000"/>
                <w:kern w:val="0"/>
                <w:sz w:val="32"/>
                <w:szCs w:val="32"/>
                <w:u w:val="none"/>
                <w:lang w:val="en-US" w:eastAsia="zh-CN" w:bidi="ar"/>
              </w:rPr>
              <w:t>附件4：市政消火栓（市政消防水鹤）规划表</w:t>
            </w:r>
          </w:p>
        </w:tc>
      </w:tr>
      <w:tr>
        <w:tblPrEx>
          <w:shd w:val="clear" w:color="auto" w:fill="auto"/>
          <w:tblCellMar>
            <w:top w:w="0" w:type="dxa"/>
            <w:left w:w="0" w:type="dxa"/>
            <w:bottom w:w="0" w:type="dxa"/>
            <w:right w:w="0" w:type="dxa"/>
          </w:tblCellMar>
        </w:tblPrEx>
        <w:trPr>
          <w:trHeight w:val="5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旗县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十三五期间</w:t>
            </w:r>
          </w:p>
        </w:tc>
        <w:tc>
          <w:tcPr>
            <w:tcW w:w="212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w:t>
            </w:r>
          </w:p>
        </w:tc>
        <w:tc>
          <w:tcPr>
            <w:tcW w:w="219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2025年</w:t>
            </w:r>
          </w:p>
        </w:tc>
      </w:tr>
      <w:tr>
        <w:tblPrEx>
          <w:shd w:val="clear" w:color="auto" w:fill="auto"/>
          <w:tblCellMar>
            <w:top w:w="0" w:type="dxa"/>
            <w:left w:w="0" w:type="dxa"/>
            <w:bottom w:w="0" w:type="dxa"/>
            <w:right w:w="0"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应有数</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完好率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市政消火栓</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市政消防水鹤</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市政消火栓</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市政消防水鹤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市政消火栓</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市政消防水鹤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市政消火栓</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市政消防水鹤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市政消火栓</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市政消防水鹤</w:t>
            </w:r>
          </w:p>
        </w:tc>
      </w:tr>
      <w:tr>
        <w:tblPrEx>
          <w:shd w:val="clear" w:color="auto" w:fill="auto"/>
          <w:tblCellMar>
            <w:top w:w="0" w:type="dxa"/>
            <w:left w:w="0" w:type="dxa"/>
            <w:bottom w:w="0" w:type="dxa"/>
            <w:right w:w="0" w:type="dxa"/>
          </w:tblCellMar>
        </w:tblPrEx>
        <w:trPr>
          <w:trHeight w:val="43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维修数</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维修数</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新建数</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维修数</w:t>
            </w:r>
          </w:p>
        </w:tc>
      </w:tr>
      <w:tr>
        <w:tblPrEx>
          <w:shd w:val="clear" w:color="auto" w:fill="auto"/>
          <w:tblCellMar>
            <w:top w:w="0" w:type="dxa"/>
            <w:left w:w="0" w:type="dxa"/>
            <w:bottom w:w="0" w:type="dxa"/>
            <w:right w:w="0" w:type="dxa"/>
          </w:tblCellMar>
        </w:tblPrEx>
        <w:trPr>
          <w:trHeight w:val="43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消火栓</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水鹤</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3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shd w:val="clear" w:color="auto" w:fill="auto"/>
          <w:tblCellMar>
            <w:top w:w="0" w:type="dxa"/>
            <w:left w:w="0" w:type="dxa"/>
            <w:bottom w:w="0" w:type="dxa"/>
            <w:right w:w="0"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乌拉特前旗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shd w:val="clear" w:color="auto" w:fill="auto"/>
          <w:tblCellMar>
            <w:top w:w="0" w:type="dxa"/>
            <w:left w:w="0" w:type="dxa"/>
            <w:bottom w:w="0" w:type="dxa"/>
            <w:right w:w="0"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乌拉特中旗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shd w:val="clear" w:color="auto" w:fill="auto"/>
          <w:tblCellMar>
            <w:top w:w="0" w:type="dxa"/>
            <w:left w:w="0" w:type="dxa"/>
            <w:bottom w:w="0" w:type="dxa"/>
            <w:right w:w="0"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乌拉特后旗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shd w:val="clear" w:color="auto" w:fill="auto"/>
          <w:tblCellMar>
            <w:top w:w="0" w:type="dxa"/>
            <w:left w:w="0" w:type="dxa"/>
            <w:bottom w:w="0" w:type="dxa"/>
            <w:right w:w="0" w:type="dxa"/>
          </w:tblCellMar>
        </w:tblPrEx>
        <w:trPr>
          <w:trHeight w:val="4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杭锦后旗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五原县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磴口县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8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经济技术开发区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r>
    </w:tbl>
    <w:p>
      <w:pPr>
        <w:rPr>
          <w:rFonts w:hint="eastAsia" w:ascii="仿宋_GB2312" w:hAnsi="仿宋_GB2312" w:eastAsia="仿宋_GB2312" w:cs="仿宋_GB2312"/>
          <w:snapToGrid w:val="0"/>
          <w:kern w:val="0"/>
          <w:sz w:val="32"/>
          <w:lang w:eastAsia="zh-CN"/>
        </w:rPr>
      </w:pPr>
      <w:r>
        <w:rPr>
          <w:rFonts w:hint="eastAsia" w:ascii="仿宋_GB2312" w:hAnsi="仿宋_GB2312" w:eastAsia="仿宋_GB2312" w:cs="仿宋_GB2312"/>
          <w:snapToGrid w:val="0"/>
          <w:kern w:val="0"/>
          <w:sz w:val="18"/>
          <w:szCs w:val="18"/>
          <w:lang w:eastAsia="zh-CN"/>
        </w:rPr>
        <w:br w:type="page"/>
      </w:r>
    </w:p>
    <w:tbl>
      <w:tblPr>
        <w:tblStyle w:val="12"/>
        <w:tblW w:w="0" w:type="auto"/>
        <w:tblInd w:w="0" w:type="dxa"/>
        <w:shd w:val="clear" w:color="auto" w:fill="auto"/>
        <w:tblLayout w:type="autofit"/>
        <w:tblCellMar>
          <w:top w:w="0" w:type="dxa"/>
          <w:left w:w="0" w:type="dxa"/>
          <w:bottom w:w="0" w:type="dxa"/>
          <w:right w:w="0" w:type="dxa"/>
        </w:tblCellMar>
      </w:tblPr>
      <w:tblGrid>
        <w:gridCol w:w="870"/>
        <w:gridCol w:w="450"/>
        <w:gridCol w:w="2760"/>
        <w:gridCol w:w="1920"/>
        <w:gridCol w:w="1782"/>
        <w:gridCol w:w="1290"/>
        <w:gridCol w:w="1929"/>
        <w:gridCol w:w="2007"/>
        <w:gridCol w:w="980"/>
      </w:tblGrid>
      <w:tr>
        <w:tblPrEx>
          <w:shd w:val="clear" w:color="auto" w:fill="auto"/>
          <w:tblCellMar>
            <w:top w:w="0" w:type="dxa"/>
            <w:left w:w="0" w:type="dxa"/>
            <w:bottom w:w="0" w:type="dxa"/>
            <w:right w:w="0" w:type="dxa"/>
          </w:tblCellMar>
        </w:tblPrEx>
        <w:trPr>
          <w:trHeight w:val="1413"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52"/>
                <w:szCs w:val="52"/>
                <w:u w:val="none"/>
              </w:rPr>
            </w:pPr>
            <w:r>
              <w:rPr>
                <w:rFonts w:hint="eastAsia" w:ascii="黑体" w:hAnsi="宋体" w:eastAsia="黑体" w:cs="黑体"/>
                <w:b/>
                <w:i w:val="0"/>
                <w:color w:val="000000"/>
                <w:kern w:val="0"/>
                <w:sz w:val="32"/>
                <w:szCs w:val="32"/>
                <w:u w:val="none"/>
                <w:lang w:val="en-US" w:eastAsia="zh-CN" w:bidi="ar"/>
              </w:rPr>
              <w:t>附件5：“十四五”规划新</w:t>
            </w:r>
            <w:r>
              <w:rPr>
                <w:rFonts w:hint="eastAsia" w:ascii="黑体" w:hAnsi="宋体" w:eastAsia="黑体" w:cs="黑体"/>
                <w:b/>
                <w:i w:val="0"/>
                <w:color w:val="auto"/>
                <w:kern w:val="0"/>
                <w:sz w:val="32"/>
                <w:szCs w:val="32"/>
                <w:u w:val="none"/>
                <w:lang w:val="en-US" w:eastAsia="zh-CN" w:bidi="ar"/>
              </w:rPr>
              <w:t>建乡镇政府专职消防队统</w:t>
            </w:r>
            <w:r>
              <w:rPr>
                <w:rFonts w:hint="eastAsia" w:ascii="黑体" w:hAnsi="宋体" w:eastAsia="黑体" w:cs="黑体"/>
                <w:b/>
                <w:i w:val="0"/>
                <w:color w:val="000000"/>
                <w:kern w:val="0"/>
                <w:sz w:val="32"/>
                <w:szCs w:val="32"/>
                <w:u w:val="none"/>
                <w:lang w:val="en-US" w:eastAsia="zh-CN" w:bidi="ar"/>
              </w:rPr>
              <w:t>计表</w:t>
            </w:r>
          </w:p>
        </w:tc>
      </w:tr>
      <w:tr>
        <w:tblPrEx>
          <w:shd w:val="clear" w:color="auto" w:fill="auto"/>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盟市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新建乡镇专职队名称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队站等级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应配最低专职消防员数量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不含兼职</w:t>
            </w:r>
            <w:r>
              <w:rPr>
                <w:rFonts w:hint="eastAsia" w:ascii="宋体" w:hAnsi="宋体" w:cs="宋体"/>
                <w:i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规划建队时间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规划配备专职消防队员数量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不含兼职</w:t>
            </w:r>
            <w:r>
              <w:rPr>
                <w:rFonts w:hint="eastAsia" w:ascii="宋体" w:hAnsi="宋体" w:cs="宋体"/>
                <w:i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规划专职消防队员招收时间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计划配备车辆</w:t>
            </w:r>
          </w:p>
        </w:tc>
      </w:tr>
      <w:tr>
        <w:tblPrEx>
          <w:shd w:val="clear" w:color="auto" w:fill="auto"/>
          <w:tblCellMar>
            <w:top w:w="0" w:type="dxa"/>
            <w:left w:w="0" w:type="dxa"/>
            <w:bottom w:w="0" w:type="dxa"/>
            <w:right w:w="0" w:type="dxa"/>
          </w:tblCellMar>
        </w:tblPrEx>
        <w:trPr>
          <w:trHeight w:val="4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巴彦淖尔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双庙镇</w:t>
            </w:r>
            <w:r>
              <w:rPr>
                <w:rFonts w:hint="eastAsia" w:ascii="宋体" w:hAnsi="宋体" w:cs="宋体"/>
                <w:i w:val="0"/>
                <w:color w:val="000000"/>
                <w:kern w:val="0"/>
                <w:sz w:val="21"/>
                <w:szCs w:val="21"/>
                <w:u w:val="none"/>
                <w:lang w:val="en-US" w:eastAsia="zh-CN" w:bidi="ar"/>
              </w:rPr>
              <w:t>乡镇</w:t>
            </w:r>
            <w:r>
              <w:rPr>
                <w:rFonts w:hint="eastAsia" w:ascii="宋体" w:hAnsi="宋体" w:eastAsia="宋体" w:cs="宋体"/>
                <w:i w:val="0"/>
                <w:color w:val="000000"/>
                <w:kern w:val="0"/>
                <w:sz w:val="21"/>
                <w:szCs w:val="21"/>
                <w:u w:val="none"/>
                <w:lang w:val="en-US" w:eastAsia="zh-CN" w:bidi="ar"/>
              </w:rPr>
              <w:t>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二级乡镇专职消防</w:t>
            </w:r>
            <w:r>
              <w:rPr>
                <w:rFonts w:hint="eastAsia" w:ascii="宋体" w:hAnsi="宋体" w:cs="宋体"/>
                <w:i w:val="0"/>
                <w:color w:val="000000"/>
                <w:kern w:val="0"/>
                <w:sz w:val="21"/>
                <w:szCs w:val="21"/>
                <w:u w:val="none"/>
                <w:lang w:val="en-US" w:eastAsia="zh-CN" w:bidi="ar"/>
              </w:rPr>
              <w:t>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val="en-US" w:eastAsia="zh-CN"/>
              </w:rPr>
              <w:t>1</w:t>
            </w:r>
          </w:p>
        </w:tc>
      </w:tr>
      <w:tr>
        <w:tblPrEx>
          <w:shd w:val="clear" w:color="auto" w:fill="auto"/>
          <w:tblCellMar>
            <w:top w:w="0" w:type="dxa"/>
            <w:left w:w="0" w:type="dxa"/>
            <w:bottom w:w="0" w:type="dxa"/>
            <w:right w:w="0"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沙海镇</w:t>
            </w:r>
            <w:r>
              <w:rPr>
                <w:rFonts w:hint="eastAsia" w:ascii="宋体" w:hAnsi="宋体" w:cs="宋体"/>
                <w:i w:val="0"/>
                <w:color w:val="000000"/>
                <w:kern w:val="0"/>
                <w:sz w:val="21"/>
                <w:szCs w:val="21"/>
                <w:u w:val="none"/>
                <w:lang w:val="en-US" w:eastAsia="zh-CN" w:bidi="ar"/>
              </w:rPr>
              <w:t>乡镇</w:t>
            </w:r>
            <w:r>
              <w:rPr>
                <w:rFonts w:hint="eastAsia" w:ascii="宋体" w:hAnsi="宋体" w:eastAsia="宋体" w:cs="宋体"/>
                <w:i w:val="0"/>
                <w:color w:val="000000"/>
                <w:kern w:val="0"/>
                <w:sz w:val="21"/>
                <w:szCs w:val="21"/>
                <w:u w:val="none"/>
                <w:lang w:val="en-US" w:eastAsia="zh-CN" w:bidi="ar"/>
              </w:rPr>
              <w:t>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二级乡镇专职消防队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val="en-US" w:eastAsia="zh-CN"/>
              </w:rPr>
              <w:t>1</w:t>
            </w:r>
          </w:p>
        </w:tc>
      </w:tr>
      <w:tr>
        <w:tblPrEx>
          <w:shd w:val="clear" w:color="auto" w:fill="auto"/>
          <w:tblCellMar>
            <w:top w:w="0" w:type="dxa"/>
            <w:left w:w="0" w:type="dxa"/>
            <w:bottom w:w="0" w:type="dxa"/>
            <w:right w:w="0"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团结镇</w:t>
            </w:r>
            <w:r>
              <w:rPr>
                <w:rFonts w:hint="eastAsia" w:ascii="宋体" w:hAnsi="宋体" w:cs="宋体"/>
                <w:i w:val="0"/>
                <w:color w:val="000000"/>
                <w:kern w:val="0"/>
                <w:sz w:val="21"/>
                <w:szCs w:val="21"/>
                <w:u w:val="none"/>
                <w:lang w:val="en-US" w:eastAsia="zh-CN" w:bidi="ar"/>
              </w:rPr>
              <w:t>乡镇</w:t>
            </w:r>
            <w:r>
              <w:rPr>
                <w:rFonts w:hint="eastAsia" w:ascii="宋体" w:hAnsi="宋体" w:eastAsia="宋体" w:cs="宋体"/>
                <w:i w:val="0"/>
                <w:color w:val="000000"/>
                <w:kern w:val="0"/>
                <w:sz w:val="21"/>
                <w:szCs w:val="21"/>
                <w:u w:val="none"/>
                <w:lang w:val="en-US" w:eastAsia="zh-CN" w:bidi="ar"/>
              </w:rPr>
              <w:t>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二级乡镇专职消防队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val="en-US" w:eastAsia="zh-CN"/>
              </w:rPr>
              <w:t>1</w:t>
            </w:r>
          </w:p>
        </w:tc>
      </w:tr>
      <w:tr>
        <w:tblPrEx>
          <w:shd w:val="clear" w:color="auto" w:fill="auto"/>
          <w:tblCellMar>
            <w:top w:w="0" w:type="dxa"/>
            <w:left w:w="0" w:type="dxa"/>
            <w:bottom w:w="0" w:type="dxa"/>
            <w:right w:w="0"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苏独仑</w:t>
            </w:r>
            <w:r>
              <w:rPr>
                <w:rFonts w:hint="eastAsia" w:ascii="宋体" w:hAnsi="宋体" w:cs="宋体"/>
                <w:i w:val="0"/>
                <w:color w:val="000000"/>
                <w:kern w:val="0"/>
                <w:sz w:val="21"/>
                <w:szCs w:val="21"/>
                <w:u w:val="none"/>
                <w:lang w:val="en-US" w:eastAsia="zh-CN" w:bidi="ar"/>
              </w:rPr>
              <w:t>乡镇</w:t>
            </w:r>
            <w:r>
              <w:rPr>
                <w:rFonts w:hint="eastAsia" w:ascii="宋体" w:hAnsi="宋体" w:eastAsia="宋体" w:cs="宋体"/>
                <w:i w:val="0"/>
                <w:color w:val="000000"/>
                <w:kern w:val="0"/>
                <w:sz w:val="21"/>
                <w:szCs w:val="21"/>
                <w:u w:val="none"/>
                <w:lang w:val="en-US" w:eastAsia="zh-CN" w:bidi="ar"/>
              </w:rPr>
              <w:t>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乡镇志愿消防队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val="en-US" w:eastAsia="zh-CN"/>
              </w:rPr>
              <w:t>1</w:t>
            </w:r>
          </w:p>
        </w:tc>
      </w:tr>
      <w:tr>
        <w:tblPrEx>
          <w:shd w:val="clear" w:color="auto" w:fill="auto"/>
          <w:tblCellMar>
            <w:top w:w="0" w:type="dxa"/>
            <w:left w:w="0" w:type="dxa"/>
            <w:bottom w:w="0" w:type="dxa"/>
            <w:right w:w="0"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小佘太</w:t>
            </w:r>
            <w:r>
              <w:rPr>
                <w:rFonts w:hint="eastAsia" w:ascii="宋体" w:hAnsi="宋体" w:cs="宋体"/>
                <w:i w:val="0"/>
                <w:color w:val="000000"/>
                <w:kern w:val="0"/>
                <w:sz w:val="21"/>
                <w:szCs w:val="21"/>
                <w:u w:val="none"/>
                <w:lang w:val="en-US" w:eastAsia="zh-CN" w:bidi="ar"/>
              </w:rPr>
              <w:t>乡镇</w:t>
            </w:r>
            <w:r>
              <w:rPr>
                <w:rFonts w:hint="eastAsia" w:ascii="宋体" w:hAnsi="宋体" w:eastAsia="宋体" w:cs="宋体"/>
                <w:i w:val="0"/>
                <w:color w:val="000000"/>
                <w:kern w:val="0"/>
                <w:sz w:val="21"/>
                <w:szCs w:val="21"/>
                <w:u w:val="none"/>
                <w:lang w:val="en-US" w:eastAsia="zh-CN" w:bidi="ar"/>
              </w:rPr>
              <w:t>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乡镇志愿消防队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val="en-US" w:eastAsia="zh-CN"/>
              </w:rPr>
              <w:t>1</w:t>
            </w:r>
          </w:p>
        </w:tc>
      </w:tr>
      <w:tr>
        <w:tblPrEx>
          <w:tblCellMar>
            <w:top w:w="0" w:type="dxa"/>
            <w:left w:w="0" w:type="dxa"/>
            <w:bottom w:w="0" w:type="dxa"/>
            <w:right w:w="0"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沙德格</w:t>
            </w:r>
            <w:r>
              <w:rPr>
                <w:rFonts w:hint="eastAsia" w:ascii="宋体" w:hAnsi="宋体" w:cs="宋体"/>
                <w:i w:val="0"/>
                <w:color w:val="000000"/>
                <w:kern w:val="0"/>
                <w:sz w:val="21"/>
                <w:szCs w:val="21"/>
                <w:u w:val="none"/>
                <w:lang w:val="en-US" w:eastAsia="zh-CN" w:bidi="ar"/>
              </w:rPr>
              <w:t>乡镇</w:t>
            </w:r>
            <w:r>
              <w:rPr>
                <w:rFonts w:hint="eastAsia" w:ascii="宋体" w:hAnsi="宋体" w:eastAsia="宋体" w:cs="宋体"/>
                <w:i w:val="0"/>
                <w:color w:val="000000"/>
                <w:kern w:val="0"/>
                <w:sz w:val="21"/>
                <w:szCs w:val="21"/>
                <w:u w:val="none"/>
                <w:lang w:val="en-US" w:eastAsia="zh-CN" w:bidi="ar"/>
              </w:rPr>
              <w:t>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乡镇志愿消防队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val="en-US" w:eastAsia="zh-CN"/>
              </w:rPr>
              <w:t>1</w:t>
            </w:r>
          </w:p>
        </w:tc>
      </w:tr>
      <w:tr>
        <w:tblPrEx>
          <w:tblCellMar>
            <w:top w:w="0" w:type="dxa"/>
            <w:left w:w="0" w:type="dxa"/>
            <w:bottom w:w="0" w:type="dxa"/>
            <w:right w:w="0"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乌梁素海</w:t>
            </w:r>
            <w:r>
              <w:rPr>
                <w:rFonts w:hint="eastAsia" w:ascii="宋体" w:hAnsi="宋体" w:cs="宋体"/>
                <w:i w:val="0"/>
                <w:color w:val="000000"/>
                <w:kern w:val="0"/>
                <w:sz w:val="21"/>
                <w:szCs w:val="21"/>
                <w:u w:val="none"/>
                <w:lang w:val="en-US" w:eastAsia="zh-CN" w:bidi="ar"/>
              </w:rPr>
              <w:t>乡镇</w:t>
            </w:r>
            <w:r>
              <w:rPr>
                <w:rFonts w:hint="eastAsia" w:ascii="宋体" w:hAnsi="宋体" w:eastAsia="宋体" w:cs="宋体"/>
                <w:i w:val="0"/>
                <w:color w:val="000000"/>
                <w:kern w:val="0"/>
                <w:sz w:val="21"/>
                <w:szCs w:val="21"/>
                <w:u w:val="none"/>
                <w:lang w:val="en-US" w:eastAsia="zh-CN" w:bidi="ar"/>
              </w:rPr>
              <w:t>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乡镇志愿消防队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2024年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2024年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val="en-US" w:eastAsia="zh-CN"/>
              </w:rPr>
              <w:t>1</w:t>
            </w:r>
          </w:p>
        </w:tc>
      </w:tr>
      <w:tr>
        <w:tblPrEx>
          <w:tblCellMar>
            <w:top w:w="0" w:type="dxa"/>
            <w:left w:w="0" w:type="dxa"/>
            <w:bottom w:w="0" w:type="dxa"/>
            <w:right w:w="0"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额尔登布拉格苏木农村消防站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乡镇志愿消防队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2025年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2025年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val="en-US" w:eastAsia="zh-CN"/>
              </w:rPr>
              <w:t>1</w:t>
            </w:r>
          </w:p>
        </w:tc>
      </w:tr>
      <w:tr>
        <w:tblPrEx>
          <w:tblCellMar>
            <w:top w:w="0" w:type="dxa"/>
            <w:left w:w="0" w:type="dxa"/>
            <w:bottom w:w="0" w:type="dxa"/>
            <w:right w:w="0" w:type="dxa"/>
          </w:tblCellMar>
        </w:tblPrEx>
        <w:trPr>
          <w:trHeight w:val="5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w:t>
            </w:r>
          </w:p>
        </w:tc>
      </w:tr>
    </w:tbl>
    <w:p>
      <w:pP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br w:type="page"/>
      </w:r>
    </w:p>
    <w:tbl>
      <w:tblPr>
        <w:tblStyle w:val="12"/>
        <w:tblW w:w="0" w:type="auto"/>
        <w:tblInd w:w="0" w:type="dxa"/>
        <w:shd w:val="clear" w:color="auto" w:fill="auto"/>
        <w:tblLayout w:type="autofit"/>
        <w:tblCellMar>
          <w:top w:w="0" w:type="dxa"/>
          <w:left w:w="0" w:type="dxa"/>
          <w:bottom w:w="0" w:type="dxa"/>
          <w:right w:w="0" w:type="dxa"/>
        </w:tblCellMar>
      </w:tblPr>
      <w:tblGrid>
        <w:gridCol w:w="450"/>
        <w:gridCol w:w="1392"/>
        <w:gridCol w:w="4183"/>
        <w:gridCol w:w="1507"/>
        <w:gridCol w:w="452"/>
        <w:gridCol w:w="451"/>
        <w:gridCol w:w="1296"/>
        <w:gridCol w:w="1295"/>
        <w:gridCol w:w="2822"/>
      </w:tblGrid>
      <w:tr>
        <w:tblPrEx>
          <w:shd w:val="clear" w:color="auto" w:fill="auto"/>
          <w:tblCellMar>
            <w:top w:w="0" w:type="dxa"/>
            <w:left w:w="0" w:type="dxa"/>
            <w:bottom w:w="0" w:type="dxa"/>
            <w:right w:w="0" w:type="dxa"/>
          </w:tblCellMar>
        </w:tblPrEx>
        <w:trPr>
          <w:trHeight w:val="1183"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52"/>
                <w:szCs w:val="52"/>
                <w:u w:val="none"/>
              </w:rPr>
            </w:pPr>
            <w:r>
              <w:rPr>
                <w:rFonts w:hint="eastAsia" w:ascii="黑体" w:hAnsi="宋体" w:eastAsia="黑体" w:cs="黑体"/>
                <w:b/>
                <w:i w:val="0"/>
                <w:color w:val="000000"/>
                <w:kern w:val="0"/>
                <w:sz w:val="32"/>
                <w:szCs w:val="32"/>
                <w:u w:val="none"/>
                <w:lang w:val="en-US" w:eastAsia="zh-CN" w:bidi="ar"/>
              </w:rPr>
              <w:t>附件6：“十四五”规划新建城市政府专职消防队统计表</w:t>
            </w:r>
          </w:p>
        </w:tc>
      </w:tr>
      <w:tr>
        <w:tblPrEx>
          <w:shd w:val="clear" w:color="auto" w:fill="auto"/>
          <w:tblCellMar>
            <w:top w:w="0" w:type="dxa"/>
            <w:left w:w="0" w:type="dxa"/>
            <w:bottom w:w="0" w:type="dxa"/>
            <w:right w:w="0" w:type="dxa"/>
          </w:tblCellMar>
        </w:tblPrEx>
        <w:trPr>
          <w:trHeight w:val="41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地区</w:t>
            </w:r>
          </w:p>
        </w:tc>
        <w:tc>
          <w:tcPr>
            <w:tcW w:w="4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新建城市政府专职队名称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队站等级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应配人数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规划建队时间</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规划配备人数</w:t>
            </w:r>
          </w:p>
        </w:tc>
        <w:tc>
          <w:tcPr>
            <w:tcW w:w="28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000000"/>
                <w:kern w:val="0"/>
                <w:sz w:val="21"/>
                <w:szCs w:val="21"/>
                <w:u w:val="none"/>
                <w:lang w:val="en-US" w:eastAsia="zh-CN" w:bidi="ar"/>
              </w:rPr>
              <w:t>规划人员招录时间</w:t>
            </w:r>
          </w:p>
        </w:tc>
      </w:tr>
      <w:tr>
        <w:tblPrEx>
          <w:shd w:val="clear" w:color="auto" w:fill="auto"/>
          <w:tblCellMar>
            <w:top w:w="0" w:type="dxa"/>
            <w:left w:w="0" w:type="dxa"/>
            <w:bottom w:w="0" w:type="dxa"/>
            <w:right w:w="0" w:type="dxa"/>
          </w:tblCellMar>
        </w:tblPrEx>
        <w:trPr>
          <w:trHeight w:val="4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上限</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81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1"/>
                <w:szCs w:val="21"/>
                <w:u w:val="none"/>
              </w:rPr>
            </w:pPr>
          </w:p>
        </w:tc>
      </w:tr>
      <w:tr>
        <w:tblPrEx>
          <w:shd w:val="clear" w:color="auto" w:fill="auto"/>
          <w:tblCellMar>
            <w:top w:w="0" w:type="dxa"/>
            <w:left w:w="0" w:type="dxa"/>
            <w:bottom w:w="0" w:type="dxa"/>
            <w:right w:w="0"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临河区</w:t>
            </w:r>
          </w:p>
        </w:tc>
        <w:tc>
          <w:tcPr>
            <w:tcW w:w="4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乌拉特大街政府专职队</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小型</w:t>
            </w:r>
            <w:r>
              <w:rPr>
                <w:rFonts w:hint="eastAsia" w:ascii="宋体" w:hAnsi="宋体" w:eastAsia="宋体" w:cs="宋体"/>
                <w:i w:val="0"/>
                <w:color w:val="000000"/>
                <w:kern w:val="0"/>
                <w:sz w:val="21"/>
                <w:szCs w:val="21"/>
                <w:u w:val="none"/>
                <w:lang w:val="en-US" w:eastAsia="zh-CN" w:bidi="ar"/>
              </w:rPr>
              <w:t>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000000"/>
                <w:kern w:val="0"/>
                <w:sz w:val="21"/>
                <w:szCs w:val="21"/>
                <w:u w:val="none"/>
                <w:lang w:val="en-US" w:eastAsia="zh-CN" w:bidi="ar"/>
              </w:rPr>
              <w:t>2025</w:t>
            </w:r>
          </w:p>
        </w:tc>
      </w:tr>
      <w:tr>
        <w:tblPrEx>
          <w:tblCellMar>
            <w:top w:w="0" w:type="dxa"/>
            <w:left w:w="0" w:type="dxa"/>
            <w:bottom w:w="0" w:type="dxa"/>
            <w:right w:w="0" w:type="dxa"/>
          </w:tblCellMar>
        </w:tblPrEx>
        <w:trPr>
          <w:trHeight w:val="7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2</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乌拉特前旗</w:t>
            </w:r>
          </w:p>
        </w:tc>
        <w:tc>
          <w:tcPr>
            <w:tcW w:w="4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乌拉前旗工业园区</w:t>
            </w:r>
            <w:r>
              <w:rPr>
                <w:rFonts w:hint="eastAsia" w:ascii="宋体" w:hAnsi="宋体" w:cs="宋体"/>
                <w:i w:val="0"/>
                <w:color w:val="000000"/>
                <w:kern w:val="0"/>
                <w:sz w:val="21"/>
                <w:szCs w:val="21"/>
                <w:u w:val="none"/>
                <w:lang w:val="en-US" w:eastAsia="zh-CN" w:bidi="ar"/>
              </w:rPr>
              <w:t>政府</w:t>
            </w:r>
            <w:r>
              <w:rPr>
                <w:rFonts w:hint="eastAsia" w:ascii="宋体" w:hAnsi="宋体" w:eastAsia="宋体" w:cs="宋体"/>
                <w:i w:val="0"/>
                <w:color w:val="000000"/>
                <w:kern w:val="0"/>
                <w:sz w:val="21"/>
                <w:szCs w:val="21"/>
                <w:u w:val="none"/>
                <w:lang w:val="en-US" w:eastAsia="zh-CN" w:bidi="ar"/>
              </w:rPr>
              <w:t>专职队</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一级普通消防站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000000"/>
                <w:kern w:val="0"/>
                <w:sz w:val="21"/>
                <w:szCs w:val="21"/>
                <w:u w:val="none"/>
                <w:lang w:val="en-US" w:eastAsia="zh-CN" w:bidi="ar"/>
              </w:rPr>
              <w:t>2022</w:t>
            </w:r>
          </w:p>
        </w:tc>
      </w:tr>
      <w:tr>
        <w:tblPrEx>
          <w:tblCellMar>
            <w:top w:w="0" w:type="dxa"/>
            <w:left w:w="0" w:type="dxa"/>
            <w:bottom w:w="0" w:type="dxa"/>
            <w:right w:w="0" w:type="dxa"/>
          </w:tblCellMar>
        </w:tblPrEx>
        <w:trPr>
          <w:trHeight w:val="7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3</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乌拉特后旗</w:t>
            </w:r>
          </w:p>
        </w:tc>
        <w:tc>
          <w:tcPr>
            <w:tcW w:w="4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呼和温都尔镇</w:t>
            </w:r>
            <w:r>
              <w:rPr>
                <w:rFonts w:hint="eastAsia" w:ascii="宋体" w:hAnsi="宋体" w:eastAsia="宋体" w:cs="宋体"/>
                <w:i w:val="0"/>
                <w:color w:val="000000"/>
                <w:kern w:val="0"/>
                <w:sz w:val="21"/>
                <w:szCs w:val="21"/>
                <w:u w:val="none"/>
                <w:lang w:val="en-US" w:eastAsia="zh-CN" w:bidi="ar"/>
              </w:rPr>
              <w:t>政府专职队</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二级普通消防站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000000"/>
                <w:kern w:val="0"/>
                <w:sz w:val="21"/>
                <w:szCs w:val="21"/>
                <w:u w:val="none"/>
                <w:lang w:val="en-US" w:eastAsia="zh-CN" w:bidi="ar"/>
              </w:rPr>
              <w:t>2021</w:t>
            </w:r>
          </w:p>
        </w:tc>
      </w:tr>
      <w:tr>
        <w:tblPrEx>
          <w:tblCellMar>
            <w:top w:w="0" w:type="dxa"/>
            <w:left w:w="0" w:type="dxa"/>
            <w:bottom w:w="0" w:type="dxa"/>
            <w:right w:w="0"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4</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乌拉特中旗</w:t>
            </w:r>
          </w:p>
        </w:tc>
        <w:tc>
          <w:tcPr>
            <w:tcW w:w="4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甘其毛都口岸政府专职队</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二级普通</w:t>
            </w:r>
            <w:r>
              <w:rPr>
                <w:rFonts w:hint="eastAsia" w:ascii="宋体" w:hAnsi="宋体" w:cs="宋体"/>
                <w:i w:val="0"/>
                <w:color w:val="000000"/>
                <w:kern w:val="0"/>
                <w:sz w:val="21"/>
                <w:szCs w:val="21"/>
                <w:u w:val="none"/>
                <w:lang w:val="en-US" w:eastAsia="zh-CN" w:bidi="ar"/>
              </w:rPr>
              <w:t>消防</w:t>
            </w:r>
            <w:r>
              <w:rPr>
                <w:rFonts w:hint="eastAsia" w:ascii="宋体" w:hAnsi="宋体" w:eastAsia="宋体" w:cs="宋体"/>
                <w:i w:val="0"/>
                <w:color w:val="000000"/>
                <w:kern w:val="0"/>
                <w:sz w:val="21"/>
                <w:szCs w:val="21"/>
                <w:u w:val="none"/>
                <w:lang w:val="en-US" w:eastAsia="zh-CN" w:bidi="ar"/>
              </w:rPr>
              <w:t>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000000"/>
                <w:kern w:val="0"/>
                <w:sz w:val="21"/>
                <w:szCs w:val="21"/>
                <w:u w:val="none"/>
                <w:lang w:val="en-US" w:eastAsia="zh-CN" w:bidi="ar"/>
              </w:rPr>
              <w:t>2021</w:t>
            </w:r>
          </w:p>
        </w:tc>
      </w:tr>
      <w:tr>
        <w:tblPrEx>
          <w:tblCellMar>
            <w:top w:w="0" w:type="dxa"/>
            <w:left w:w="0" w:type="dxa"/>
            <w:bottom w:w="0" w:type="dxa"/>
            <w:right w:w="0" w:type="dxa"/>
          </w:tblCellMar>
        </w:tblPrEx>
        <w:trPr>
          <w:trHeight w:val="4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1200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rPr>
          <w:rFonts w:hint="eastAsia"/>
          <w:lang w:eastAsia="zh-CN"/>
        </w:rPr>
      </w:pPr>
      <w:r>
        <w:rPr>
          <w:rFonts w:hint="eastAsia" w:ascii="宋体" w:hAnsi="宋体" w:eastAsia="宋体" w:cs="宋体"/>
          <w:i w:val="0"/>
          <w:color w:val="000000"/>
          <w:sz w:val="24"/>
          <w:szCs w:val="24"/>
          <w:u w:val="none"/>
          <w:lang w:eastAsia="zh-CN"/>
        </w:rPr>
        <w:br w:type="page"/>
      </w:r>
    </w:p>
    <w:tbl>
      <w:tblPr>
        <w:tblStyle w:val="12"/>
        <w:tblW w:w="0" w:type="auto"/>
        <w:tblInd w:w="93" w:type="dxa"/>
        <w:shd w:val="clear" w:color="auto" w:fill="auto"/>
        <w:tblLayout w:type="autofit"/>
        <w:tblCellMar>
          <w:top w:w="0" w:type="dxa"/>
          <w:left w:w="108" w:type="dxa"/>
          <w:bottom w:w="0" w:type="dxa"/>
          <w:right w:w="108" w:type="dxa"/>
        </w:tblCellMar>
      </w:tblPr>
      <w:tblGrid>
        <w:gridCol w:w="660"/>
        <w:gridCol w:w="1756"/>
        <w:gridCol w:w="829"/>
        <w:gridCol w:w="732"/>
        <w:gridCol w:w="900"/>
        <w:gridCol w:w="732"/>
        <w:gridCol w:w="564"/>
        <w:gridCol w:w="732"/>
        <w:gridCol w:w="564"/>
        <w:gridCol w:w="732"/>
        <w:gridCol w:w="732"/>
        <w:gridCol w:w="732"/>
        <w:gridCol w:w="732"/>
        <w:gridCol w:w="984"/>
        <w:gridCol w:w="732"/>
        <w:gridCol w:w="1068"/>
        <w:gridCol w:w="900"/>
      </w:tblGrid>
      <w:tr>
        <w:tblPrEx>
          <w:shd w:val="clear" w:color="auto" w:fill="auto"/>
          <w:tblCellMar>
            <w:top w:w="0" w:type="dxa"/>
            <w:left w:w="108" w:type="dxa"/>
            <w:bottom w:w="0" w:type="dxa"/>
            <w:right w:w="108" w:type="dxa"/>
          </w:tblCellMar>
        </w:tblPrEx>
        <w:trPr>
          <w:trHeight w:val="300" w:hRule="atLeast"/>
        </w:trPr>
        <w:tc>
          <w:tcPr>
            <w:tcW w:w="14081" w:type="dxa"/>
            <w:gridSpan w:val="17"/>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黑体" w:hAnsi="宋体" w:eastAsia="黑体" w:cs="黑体"/>
                <w:b/>
                <w:bCs/>
                <w:i w:val="0"/>
                <w:iCs w:val="0"/>
                <w:color w:val="000000"/>
                <w:kern w:val="0"/>
                <w:sz w:val="32"/>
                <w:szCs w:val="32"/>
                <w:u w:val="none"/>
                <w:lang w:val="en-US" w:eastAsia="zh-CN" w:bidi="ar"/>
              </w:rPr>
              <w:t>附件7：</w:t>
            </w:r>
            <w:r>
              <w:rPr>
                <w:rFonts w:hint="default" w:ascii="Times New Roman" w:hAnsi="Times New Roman" w:eastAsia="黑体" w:cs="Times New Roman"/>
                <w:b/>
                <w:bCs/>
                <w:i w:val="0"/>
                <w:iCs w:val="0"/>
                <w:color w:val="000000"/>
                <w:kern w:val="0"/>
                <w:sz w:val="32"/>
                <w:szCs w:val="32"/>
                <w:u w:val="none"/>
                <w:lang w:val="en-US" w:eastAsia="zh-CN" w:bidi="ar"/>
              </w:rPr>
              <w:t>“</w:t>
            </w:r>
            <w:r>
              <w:rPr>
                <w:rFonts w:hint="eastAsia" w:ascii="黑体" w:hAnsi="宋体" w:eastAsia="黑体" w:cs="黑体"/>
                <w:b/>
                <w:bCs/>
                <w:i w:val="0"/>
                <w:iCs w:val="0"/>
                <w:color w:val="000000"/>
                <w:kern w:val="0"/>
                <w:sz w:val="32"/>
                <w:szCs w:val="32"/>
                <w:u w:val="none"/>
                <w:lang w:val="en-US" w:eastAsia="zh-CN" w:bidi="ar"/>
              </w:rPr>
              <w:t>十四五</w:t>
            </w:r>
            <w:r>
              <w:rPr>
                <w:rFonts w:hint="default" w:ascii="Times New Roman" w:hAnsi="Times New Roman" w:eastAsia="黑体" w:cs="Times New Roman"/>
                <w:b/>
                <w:bCs/>
                <w:i w:val="0"/>
                <w:iCs w:val="0"/>
                <w:color w:val="000000"/>
                <w:kern w:val="0"/>
                <w:sz w:val="32"/>
                <w:szCs w:val="32"/>
                <w:u w:val="none"/>
                <w:lang w:val="en-US" w:eastAsia="zh-CN" w:bidi="ar"/>
              </w:rPr>
              <w:t>”</w:t>
            </w:r>
            <w:r>
              <w:rPr>
                <w:rFonts w:hint="eastAsia" w:ascii="黑体" w:hAnsi="宋体" w:eastAsia="黑体" w:cs="黑体"/>
                <w:b/>
                <w:bCs/>
                <w:i w:val="0"/>
                <w:iCs w:val="0"/>
                <w:color w:val="000000"/>
                <w:kern w:val="0"/>
                <w:sz w:val="32"/>
                <w:szCs w:val="32"/>
                <w:u w:val="none"/>
                <w:lang w:val="en-US" w:eastAsia="zh-CN" w:bidi="ar"/>
              </w:rPr>
              <w:t>时期政府专职队消防救援车辆装备建设规划表</w:t>
            </w:r>
          </w:p>
        </w:tc>
      </w:tr>
      <w:tr>
        <w:tblPrEx>
          <w:shd w:val="clear" w:color="auto" w:fill="auto"/>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p>
        </w:tc>
        <w:tc>
          <w:tcPr>
            <w:tcW w:w="1756" w:type="dxa"/>
            <w:vMerge w:val="restart"/>
            <w:tcBorders>
              <w:top w:val="single" w:color="000000"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队站名称</w:t>
            </w:r>
          </w:p>
        </w:tc>
        <w:tc>
          <w:tcPr>
            <w:tcW w:w="11665" w:type="dxa"/>
            <w:gridSpan w:val="15"/>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全区消防车辆配备（单位：台）</w:t>
            </w:r>
          </w:p>
        </w:tc>
      </w:tr>
      <w:tr>
        <w:tblPrEx>
          <w:shd w:val="clear" w:color="auto" w:fill="auto"/>
          <w:tblCellMar>
            <w:top w:w="0" w:type="dxa"/>
            <w:left w:w="108" w:type="dxa"/>
            <w:bottom w:w="0" w:type="dxa"/>
            <w:right w:w="108" w:type="dxa"/>
          </w:tblCellMar>
        </w:tblPrEx>
        <w:trPr>
          <w:trHeight w:val="666" w:hRule="atLeast"/>
        </w:trPr>
        <w:tc>
          <w:tcPr>
            <w:tcW w:w="0" w:type="auto"/>
            <w:vMerge w:val="continue"/>
            <w:tcBorders>
              <w:top w:val="single" w:color="000000" w:sz="8" w:space="0"/>
              <w:left w:val="single" w:color="000000" w:sz="4"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7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3193"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灭火类</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举高</w:t>
            </w:r>
            <w:r>
              <w:rPr>
                <w:rFonts w:hint="eastAsia" w:ascii="宋体" w:hAnsi="宋体" w:eastAsia="宋体" w:cs="宋体"/>
                <w:i w:val="0"/>
                <w:iCs w:val="0"/>
                <w:color w:val="000000"/>
                <w:kern w:val="0"/>
                <w:sz w:val="18"/>
                <w:szCs w:val="18"/>
                <w:u w:val="none"/>
                <w:lang w:val="en-US" w:eastAsia="zh-CN" w:bidi="ar"/>
              </w:rPr>
              <w:t>类</w:t>
            </w:r>
          </w:p>
        </w:tc>
        <w:tc>
          <w:tcPr>
            <w:tcW w:w="0" w:type="auto"/>
            <w:gridSpan w:val="7"/>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专勤类</w:t>
            </w:r>
          </w:p>
        </w:tc>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其他类</w:t>
            </w:r>
          </w:p>
        </w:tc>
      </w:tr>
      <w:tr>
        <w:tblPrEx>
          <w:shd w:val="clear" w:color="auto" w:fill="auto"/>
          <w:tblCellMar>
            <w:top w:w="0" w:type="dxa"/>
            <w:left w:w="108" w:type="dxa"/>
            <w:bottom w:w="0" w:type="dxa"/>
            <w:right w:w="108" w:type="dxa"/>
          </w:tblCellMar>
        </w:tblPrEx>
        <w:trPr>
          <w:trHeight w:val="735" w:hRule="atLeast"/>
        </w:trPr>
        <w:tc>
          <w:tcPr>
            <w:tcW w:w="0" w:type="auto"/>
            <w:vMerge w:val="continue"/>
            <w:tcBorders>
              <w:top w:val="single" w:color="000000" w:sz="8" w:space="0"/>
              <w:left w:val="single" w:color="000000" w:sz="4"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7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8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水罐消防车或泡沫消防车</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干粉消防车</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压缩空气泡沫车</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多剂联用车</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高喷车</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登高平台车</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云梯车</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抢险救援车</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排烟消防车</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照明消防车</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防化洗消车</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核生化侦检消防车</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通信指挥车</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化学事故抢险救援车</w:t>
            </w:r>
          </w:p>
        </w:tc>
        <w:tc>
          <w:tcPr>
            <w:tcW w:w="0" w:type="auto"/>
            <w:tcBorders>
              <w:top w:val="single" w:color="000000" w:sz="4" w:space="0"/>
              <w:left w:val="nil"/>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其他新型消防车</w:t>
            </w:r>
          </w:p>
        </w:tc>
      </w:tr>
      <w:tr>
        <w:tblPrEx>
          <w:shd w:val="clear" w:color="auto" w:fill="auto"/>
          <w:tblCellMar>
            <w:top w:w="0" w:type="dxa"/>
            <w:left w:w="108" w:type="dxa"/>
            <w:bottom w:w="0" w:type="dxa"/>
            <w:right w:w="108" w:type="dxa"/>
          </w:tblCellMar>
        </w:tblPrEx>
        <w:trPr>
          <w:trHeight w:val="608" w:hRule="atLeast"/>
        </w:trPr>
        <w:tc>
          <w:tcPr>
            <w:tcW w:w="0" w:type="auto"/>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2021</w:t>
            </w:r>
          </w:p>
        </w:tc>
        <w:tc>
          <w:tcPr>
            <w:tcW w:w="175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临河区乌拉特大街政府专职队</w:t>
            </w:r>
          </w:p>
        </w:tc>
        <w:tc>
          <w:tcPr>
            <w:tcW w:w="82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513" w:hRule="atLeast"/>
        </w:trPr>
        <w:tc>
          <w:tcPr>
            <w:tcW w:w="0" w:type="auto"/>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b/>
                <w:bCs/>
                <w:i w:val="0"/>
                <w:iCs w:val="0"/>
                <w:color w:val="000000"/>
                <w:sz w:val="18"/>
                <w:szCs w:val="18"/>
                <w:u w:val="none"/>
              </w:rPr>
            </w:pPr>
          </w:p>
        </w:tc>
        <w:tc>
          <w:tcPr>
            <w:tcW w:w="1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乌拉特前旗工业园区政府专职队</w:t>
            </w:r>
          </w:p>
        </w:tc>
        <w:tc>
          <w:tcPr>
            <w:tcW w:w="829"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604" w:hRule="atLeast"/>
        </w:trPr>
        <w:tc>
          <w:tcPr>
            <w:tcW w:w="0" w:type="auto"/>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b/>
                <w:bCs/>
                <w:i w:val="0"/>
                <w:iCs w:val="0"/>
                <w:color w:val="000000"/>
                <w:sz w:val="18"/>
                <w:szCs w:val="18"/>
                <w:u w:val="none"/>
              </w:rPr>
            </w:pPr>
          </w:p>
        </w:tc>
        <w:tc>
          <w:tcPr>
            <w:tcW w:w="1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后旗呼和温都尔镇政府专职队</w:t>
            </w:r>
          </w:p>
        </w:tc>
        <w:tc>
          <w:tcPr>
            <w:tcW w:w="8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530" w:hRule="atLeast"/>
        </w:trPr>
        <w:tc>
          <w:tcPr>
            <w:tcW w:w="0" w:type="auto"/>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b/>
                <w:bCs/>
                <w:i w:val="0"/>
                <w:iCs w:val="0"/>
                <w:color w:val="000000"/>
                <w:sz w:val="18"/>
                <w:szCs w:val="18"/>
                <w:u w:val="none"/>
              </w:rPr>
            </w:pPr>
          </w:p>
        </w:tc>
        <w:tc>
          <w:tcPr>
            <w:tcW w:w="1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甘其毛都口岸政府专职队</w:t>
            </w:r>
          </w:p>
        </w:tc>
        <w:tc>
          <w:tcPr>
            <w:tcW w:w="829"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457" w:hRule="atLeast"/>
        </w:trPr>
        <w:tc>
          <w:tcPr>
            <w:tcW w:w="0" w:type="auto"/>
            <w:vMerge w:val="restart"/>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1756" w:type="dxa"/>
            <w:tcBorders>
              <w:top w:val="nil"/>
              <w:left w:val="nil"/>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临河区乌拉特大街政府专职队</w:t>
            </w:r>
          </w:p>
        </w:tc>
        <w:tc>
          <w:tcPr>
            <w:tcW w:w="829" w:type="dxa"/>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647" w:hRule="atLeast"/>
        </w:trPr>
        <w:tc>
          <w:tcPr>
            <w:tcW w:w="0" w:type="auto"/>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乌拉特前旗工业园区政府专职队</w:t>
            </w:r>
          </w:p>
        </w:tc>
        <w:tc>
          <w:tcPr>
            <w:tcW w:w="829"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690" w:hRule="atLeast"/>
        </w:trPr>
        <w:tc>
          <w:tcPr>
            <w:tcW w:w="0" w:type="auto"/>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后旗呼和温都尔镇政府专职队</w:t>
            </w:r>
          </w:p>
        </w:tc>
        <w:tc>
          <w:tcPr>
            <w:tcW w:w="829"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530" w:hRule="atLeast"/>
        </w:trPr>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甘其毛都口岸政府专职队</w:t>
            </w:r>
          </w:p>
        </w:tc>
        <w:tc>
          <w:tcPr>
            <w:tcW w:w="829"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690" w:hRule="atLeast"/>
        </w:trPr>
        <w:tc>
          <w:tcPr>
            <w:tcW w:w="0" w:type="auto"/>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2023</w:t>
            </w:r>
          </w:p>
        </w:tc>
        <w:tc>
          <w:tcPr>
            <w:tcW w:w="17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临河区乌拉特大街政府专职队</w:t>
            </w:r>
          </w:p>
        </w:tc>
        <w:tc>
          <w:tcPr>
            <w:tcW w:w="829" w:type="dxa"/>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615"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nil"/>
              <w:left w:val="single" w:color="000000"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乌拉特前旗工业园区政府专职队</w:t>
            </w:r>
          </w:p>
        </w:tc>
        <w:tc>
          <w:tcPr>
            <w:tcW w:w="8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06"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nil"/>
              <w:left w:val="single" w:color="000000"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后旗呼和温都尔镇政府专职队</w:t>
            </w:r>
          </w:p>
        </w:tc>
        <w:tc>
          <w:tcPr>
            <w:tcW w:w="829"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nil"/>
              <w:left w:val="single" w:color="000000"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甘其毛都口岸政府专职队</w:t>
            </w:r>
          </w:p>
        </w:tc>
        <w:tc>
          <w:tcPr>
            <w:tcW w:w="829"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690" w:hRule="atLeast"/>
        </w:trPr>
        <w:tc>
          <w:tcPr>
            <w:tcW w:w="0" w:type="auto"/>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w:t>
            </w:r>
          </w:p>
        </w:tc>
        <w:tc>
          <w:tcPr>
            <w:tcW w:w="1756" w:type="dxa"/>
            <w:tcBorders>
              <w:top w:val="nil"/>
              <w:left w:val="single" w:color="000000"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临河区乌拉特大街政府专职队</w:t>
            </w:r>
          </w:p>
        </w:tc>
        <w:tc>
          <w:tcPr>
            <w:tcW w:w="8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690"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nil"/>
              <w:left w:val="single" w:color="000000"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乌拉特前旗工业园区政府专职队</w:t>
            </w:r>
          </w:p>
        </w:tc>
        <w:tc>
          <w:tcPr>
            <w:tcW w:w="8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660"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nil"/>
              <w:left w:val="single" w:color="000000"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后旗呼和温都尔镇政府专职队</w:t>
            </w:r>
          </w:p>
        </w:tc>
        <w:tc>
          <w:tcPr>
            <w:tcW w:w="829"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640"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甘其毛都口岸政府专职队</w:t>
            </w:r>
          </w:p>
        </w:tc>
        <w:tc>
          <w:tcPr>
            <w:tcW w:w="829" w:type="dxa"/>
            <w:tcBorders>
              <w:top w:val="nil"/>
              <w:left w:val="nil"/>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630" w:hRule="atLeast"/>
        </w:trPr>
        <w:tc>
          <w:tcPr>
            <w:tcW w:w="0" w:type="auto"/>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2025</w:t>
            </w:r>
          </w:p>
        </w:tc>
        <w:tc>
          <w:tcPr>
            <w:tcW w:w="17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临河区乌拉特大街政府专职队</w:t>
            </w:r>
          </w:p>
        </w:tc>
        <w:tc>
          <w:tcPr>
            <w:tcW w:w="829"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540"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乌拉特前旗工业园区政府专职队</w:t>
            </w:r>
          </w:p>
        </w:tc>
        <w:tc>
          <w:tcPr>
            <w:tcW w:w="829"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690"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后旗呼和温都尔镇政府专职队</w:t>
            </w:r>
          </w:p>
        </w:tc>
        <w:tc>
          <w:tcPr>
            <w:tcW w:w="829" w:type="dxa"/>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690"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nil"/>
              <w:left w:val="single" w:color="000000"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甘其毛都口岸政府专职队</w:t>
            </w:r>
          </w:p>
        </w:tc>
        <w:tc>
          <w:tcPr>
            <w:tcW w:w="829"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nil"/>
              <w:left w:val="nil"/>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总合计</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bCs/>
                <w:i w:val="0"/>
                <w:iCs w:val="0"/>
                <w:color w:val="000000"/>
                <w:sz w:val="18"/>
                <w:szCs w:val="18"/>
                <w:u w:val="none"/>
              </w:rPr>
            </w:pPr>
          </w:p>
        </w:tc>
      </w:tr>
    </w:tbl>
    <w:p>
      <w:pPr>
        <w:widowControl/>
        <w:adjustRightInd/>
        <w:snapToGrid/>
        <w:spacing w:after="0"/>
        <w:jc w:val="center"/>
        <w:rPr>
          <w:rFonts w:hint="eastAsia" w:ascii="Times New Roman" w:hAnsi="Times New Roman" w:eastAsia="宋体" w:cs="Times New Roman"/>
          <w:kern w:val="0"/>
          <w:sz w:val="18"/>
          <w:szCs w:val="22"/>
          <w:lang w:eastAsia="zh-CN"/>
        </w:rPr>
      </w:pPr>
    </w:p>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3265"/>
        <w:tab w:val="clear" w:pos="4153"/>
        <w:tab w:val="clear" w:pos="8306"/>
      </w:tabs>
      <w:rPr>
        <w:rStyle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7"/>
                            <w:tabs>
                              <w:tab w:val="left" w:pos="3265"/>
                              <w:tab w:val="clear" w:pos="4153"/>
                              <w:tab w:val="clear" w:pos="8306"/>
                            </w:tabs>
                            <w:rPr>
                              <w:rStyle w:val="21"/>
                              <w:rFonts w:ascii="Times New Roman" w:hAnsi="Times New Roman"/>
                              <w:sz w:val="28"/>
                              <w:szCs w:val="28"/>
                            </w:rPr>
                          </w:pPr>
                        </w:p>
                        <w:p>
                          <w:pPr>
                            <w:rPr>
                              <w:rStyle w:val="21"/>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&#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ZpPZA0gAAAAUBAAAPAAAAAAAAAAEAIAAAACIAAABk&#10;cnMvZG93bnJldi54bWxQSwECFAAUAAAACACHTuJApwwl5QwCAAAUBAAADgAAAAAAAAABACAAAAAh&#10;AQAAZHJzL2Uyb0RvYy54bWxQSwUGAAAAAAYABgBZAQAAnwUAAAAA&#10;">
              <v:fill on="f" focussize="0,0"/>
              <v:stroke on="f"/>
              <v:imagedata o:title=""/>
              <o:lock v:ext="edit" aspectratio="f"/>
              <v:textbox inset="0mm,0mm,0mm,0mm">
                <w:txbxContent>
                  <w:p>
                    <w:pPr>
                      <w:pStyle w:val="7"/>
                      <w:tabs>
                        <w:tab w:val="left" w:pos="3265"/>
                        <w:tab w:val="clear" w:pos="4153"/>
                        <w:tab w:val="clear" w:pos="8306"/>
                      </w:tabs>
                      <w:rPr>
                        <w:rStyle w:val="21"/>
                        <w:rFonts w:ascii="Times New Roman" w:hAnsi="Times New Roman"/>
                        <w:sz w:val="28"/>
                        <w:szCs w:val="28"/>
                      </w:rPr>
                    </w:pPr>
                  </w:p>
                  <w:p>
                    <w:pPr>
                      <w:rPr>
                        <w:rStyle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3265"/>
        <w:tab w:val="clear" w:pos="4153"/>
        <w:tab w:val="clear" w:pos="8306"/>
      </w:tabs>
      <w:rPr>
        <w:rStyle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tabs>
                              <w:tab w:val="left" w:pos="3265"/>
                              <w:tab w:val="clear" w:pos="4153"/>
                              <w:tab w:val="clear" w:pos="8306"/>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7"/>
                      <w:tabs>
                        <w:tab w:val="left" w:pos="3265"/>
                        <w:tab w:val="clear" w:pos="4153"/>
                        <w:tab w:val="clear" w:pos="8306"/>
                      </w:tabs>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7"/>
                            <w:tabs>
                              <w:tab w:val="left" w:pos="3265"/>
                              <w:tab w:val="clear" w:pos="4153"/>
                              <w:tab w:val="clear" w:pos="8306"/>
                            </w:tabs>
                            <w:rPr>
                              <w:rStyle w:val="21"/>
                              <w:rFonts w:ascii="Times New Roman" w:hAnsi="Times New Roman"/>
                              <w:sz w:val="28"/>
                              <w:szCs w:val="28"/>
                            </w:rPr>
                          </w:pPr>
                        </w:p>
                        <w:p>
                          <w:pPr>
                            <w:rPr>
                              <w:rStyle w:val="21"/>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&#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ZpPZA0gAAAAUBAAAPAAAAAAAAAAEAIAAAACIAAABk&#10;cnMvZG93bnJldi54bWxQSwECFAAUAAAACACHTuJAAknDnwwCAAAUBAAADgAAAAAAAAABACAAAAAh&#10;AQAAZHJzL2Uyb0RvYy54bWxQSwUGAAAAAAYABgBZAQAAnwUAAAAA&#10;">
              <v:fill on="f" focussize="0,0"/>
              <v:stroke on="f"/>
              <v:imagedata o:title=""/>
              <o:lock v:ext="edit" aspectratio="f"/>
              <v:textbox inset="0mm,0mm,0mm,0mm">
                <w:txbxContent>
                  <w:p>
                    <w:pPr>
                      <w:pStyle w:val="7"/>
                      <w:tabs>
                        <w:tab w:val="left" w:pos="3265"/>
                        <w:tab w:val="clear" w:pos="4153"/>
                        <w:tab w:val="clear" w:pos="8306"/>
                      </w:tabs>
                      <w:rPr>
                        <w:rStyle w:val="21"/>
                        <w:rFonts w:ascii="Times New Roman" w:hAnsi="Times New Roman"/>
                        <w:sz w:val="28"/>
                        <w:szCs w:val="28"/>
                      </w:rPr>
                    </w:pPr>
                  </w:p>
                  <w:p>
                    <w:pPr>
                      <w:rPr>
                        <w:rStyle w:val="2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344EDBB9"/>
    <w:multiLevelType w:val="singleLevel"/>
    <w:tmpl w:val="344EDBB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YTM0NTAwNzg3MjU0ZTMyMDdhNWZkZGJjODIxMGIifQ=="/>
  </w:docVars>
  <w:rsids>
    <w:rsidRoot w:val="00000000"/>
    <w:rsid w:val="01350257"/>
    <w:rsid w:val="021D01B2"/>
    <w:rsid w:val="023B1CD9"/>
    <w:rsid w:val="03095A83"/>
    <w:rsid w:val="03CF3EC1"/>
    <w:rsid w:val="068D5BA4"/>
    <w:rsid w:val="08671728"/>
    <w:rsid w:val="0AB94B2B"/>
    <w:rsid w:val="0B584153"/>
    <w:rsid w:val="0C9977F2"/>
    <w:rsid w:val="0DD16F70"/>
    <w:rsid w:val="0E6415BE"/>
    <w:rsid w:val="0FA931C6"/>
    <w:rsid w:val="10E54873"/>
    <w:rsid w:val="117834A9"/>
    <w:rsid w:val="11BD4A14"/>
    <w:rsid w:val="122272D0"/>
    <w:rsid w:val="128A2420"/>
    <w:rsid w:val="141E3FD7"/>
    <w:rsid w:val="15E41A8E"/>
    <w:rsid w:val="171E54BA"/>
    <w:rsid w:val="17B031CE"/>
    <w:rsid w:val="193A2187"/>
    <w:rsid w:val="1940425A"/>
    <w:rsid w:val="1AA07633"/>
    <w:rsid w:val="1B9F6A4E"/>
    <w:rsid w:val="1FD81A0E"/>
    <w:rsid w:val="21F61B3A"/>
    <w:rsid w:val="23BE51DD"/>
    <w:rsid w:val="27031763"/>
    <w:rsid w:val="27255AD1"/>
    <w:rsid w:val="27894F8A"/>
    <w:rsid w:val="27C724D1"/>
    <w:rsid w:val="294A4411"/>
    <w:rsid w:val="2B895020"/>
    <w:rsid w:val="2BA72D19"/>
    <w:rsid w:val="2CCE75F5"/>
    <w:rsid w:val="2CE108DA"/>
    <w:rsid w:val="31733E0C"/>
    <w:rsid w:val="32403F16"/>
    <w:rsid w:val="32BD671D"/>
    <w:rsid w:val="333F17C2"/>
    <w:rsid w:val="35E32082"/>
    <w:rsid w:val="36011EC2"/>
    <w:rsid w:val="36FA437E"/>
    <w:rsid w:val="38107210"/>
    <w:rsid w:val="3941687A"/>
    <w:rsid w:val="39735244"/>
    <w:rsid w:val="3AD6672F"/>
    <w:rsid w:val="3AF90163"/>
    <w:rsid w:val="3D112A47"/>
    <w:rsid w:val="3D9A0712"/>
    <w:rsid w:val="3FD14E1F"/>
    <w:rsid w:val="4106097A"/>
    <w:rsid w:val="41370826"/>
    <w:rsid w:val="425E7C08"/>
    <w:rsid w:val="43616C72"/>
    <w:rsid w:val="440B3E05"/>
    <w:rsid w:val="45FD7C65"/>
    <w:rsid w:val="4AF06A91"/>
    <w:rsid w:val="4B2B6DA4"/>
    <w:rsid w:val="4CBB1D86"/>
    <w:rsid w:val="4E0C4FEC"/>
    <w:rsid w:val="4EE36960"/>
    <w:rsid w:val="50821183"/>
    <w:rsid w:val="50F628C1"/>
    <w:rsid w:val="50FB677C"/>
    <w:rsid w:val="511701B4"/>
    <w:rsid w:val="56E666DF"/>
    <w:rsid w:val="58A55FD9"/>
    <w:rsid w:val="5A6B0B49"/>
    <w:rsid w:val="5A75462C"/>
    <w:rsid w:val="5C5A142E"/>
    <w:rsid w:val="5E1702EE"/>
    <w:rsid w:val="5F49545C"/>
    <w:rsid w:val="60010883"/>
    <w:rsid w:val="60D410F1"/>
    <w:rsid w:val="62D35D27"/>
    <w:rsid w:val="63362E05"/>
    <w:rsid w:val="67945EDD"/>
    <w:rsid w:val="69864179"/>
    <w:rsid w:val="69BC3A45"/>
    <w:rsid w:val="6B1448C8"/>
    <w:rsid w:val="6B233516"/>
    <w:rsid w:val="6C613276"/>
    <w:rsid w:val="6DEC204B"/>
    <w:rsid w:val="6EDE346B"/>
    <w:rsid w:val="7050591F"/>
    <w:rsid w:val="773E05CE"/>
    <w:rsid w:val="77822FF8"/>
    <w:rsid w:val="77DEAF54"/>
    <w:rsid w:val="783E1615"/>
    <w:rsid w:val="78B52E92"/>
    <w:rsid w:val="79C75556"/>
    <w:rsid w:val="7A04063C"/>
    <w:rsid w:val="7D2B6ABD"/>
    <w:rsid w:val="7D8555F0"/>
    <w:rsid w:val="7E2A42E5"/>
    <w:rsid w:val="7ED12E71"/>
    <w:rsid w:val="7ED15849"/>
    <w:rsid w:val="7EE02E97"/>
    <w:rsid w:val="7FAF5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3">
    <w:name w:val="Default Paragraph Font"/>
    <w:qFormat/>
    <w:uiPriority w:val="0"/>
  </w:style>
  <w:style w:type="table" w:default="1" w:styleId="12">
    <w:name w:val="Normal Table"/>
    <w:qFormat/>
    <w:uiPriority w:val="0"/>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MingLiU" w:hAnsi="Times New Roman" w:eastAsia="MingLiU" w:cs="Times New Roman"/>
      <w:color w:val="000000"/>
      <w:sz w:val="24"/>
      <w:szCs w:val="24"/>
      <w:lang w:val="en-US" w:eastAsia="zh-CN" w:bidi="ar-SA"/>
    </w:rPr>
  </w:style>
  <w:style w:type="paragraph" w:styleId="5">
    <w:name w:val="Normal Indent"/>
    <w:basedOn w:val="1"/>
    <w:qFormat/>
    <w:uiPriority w:val="0"/>
    <w:pPr>
      <w:spacing w:line="300" w:lineRule="auto"/>
      <w:ind w:firstLine="482" w:firstLineChars="200"/>
    </w:pPr>
    <w:rPr>
      <w:rFonts w:ascii="宋体" w:hAnsi="Times New Roman" w:eastAsia="宋体"/>
      <w:snapToGrid w:val="0"/>
      <w:kern w:val="0"/>
      <w:sz w:val="24"/>
      <w:szCs w:val="20"/>
    </w:rPr>
  </w:style>
  <w:style w:type="paragraph" w:styleId="6">
    <w:name w:val="toc 3"/>
    <w:basedOn w:val="1"/>
    <w:next w:val="1"/>
    <w:qFormat/>
    <w:uiPriority w:val="0"/>
    <w:pPr>
      <w:ind w:left="840" w:leftChars="4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14">
    <w:name w:val="标题3"/>
    <w:basedOn w:val="1"/>
    <w:next w:val="1"/>
    <w:qFormat/>
    <w:uiPriority w:val="0"/>
    <w:pPr>
      <w:autoSpaceDE w:val="0"/>
      <w:autoSpaceDN w:val="0"/>
      <w:snapToGrid w:val="0"/>
      <w:spacing w:line="590" w:lineRule="atLeast"/>
      <w:ind w:firstLine="624"/>
    </w:pPr>
    <w:rPr>
      <w:rFonts w:eastAsia="方正黑体_GBK"/>
      <w:snapToGrid w:val="0"/>
      <w:kern w:val="0"/>
      <w:sz w:val="32"/>
    </w:rPr>
  </w:style>
  <w:style w:type="character" w:customStyle="1" w:styleId="15">
    <w:name w:val="font71"/>
    <w:basedOn w:val="13"/>
    <w:qFormat/>
    <w:uiPriority w:val="0"/>
    <w:rPr>
      <w:rFonts w:hint="eastAsia" w:ascii="黑体" w:hAnsi="宋体" w:eastAsia="黑体" w:cs="黑体"/>
      <w:color w:val="000000"/>
      <w:sz w:val="24"/>
      <w:szCs w:val="24"/>
      <w:u w:val="none"/>
    </w:rPr>
  </w:style>
  <w:style w:type="character" w:customStyle="1" w:styleId="16">
    <w:name w:val="font11"/>
    <w:basedOn w:val="13"/>
    <w:qFormat/>
    <w:uiPriority w:val="0"/>
    <w:rPr>
      <w:rFonts w:hint="eastAsia" w:ascii="黑体" w:hAnsi="宋体" w:eastAsia="黑体" w:cs="黑体"/>
      <w:color w:val="000000"/>
      <w:sz w:val="20"/>
      <w:szCs w:val="20"/>
      <w:u w:val="none"/>
    </w:rPr>
  </w:style>
  <w:style w:type="character" w:customStyle="1" w:styleId="17">
    <w:name w:val="font61"/>
    <w:basedOn w:val="13"/>
    <w:qFormat/>
    <w:uiPriority w:val="0"/>
    <w:rPr>
      <w:rFonts w:hint="eastAsia" w:ascii="黑体" w:hAnsi="宋体" w:eastAsia="黑体" w:cs="黑体"/>
      <w:color w:val="000000"/>
      <w:sz w:val="40"/>
      <w:szCs w:val="40"/>
      <w:u w:val="none"/>
    </w:rPr>
  </w:style>
  <w:style w:type="character" w:customStyle="1" w:styleId="18">
    <w:name w:val="font51"/>
    <w:basedOn w:val="13"/>
    <w:qFormat/>
    <w:uiPriority w:val="0"/>
    <w:rPr>
      <w:rFonts w:hint="eastAsia" w:ascii="宋体" w:hAnsi="宋体" w:eastAsia="宋体" w:cs="宋体"/>
      <w:color w:val="000000"/>
      <w:sz w:val="24"/>
      <w:szCs w:val="24"/>
      <w:u w:val="none"/>
      <w:vertAlign w:val="superscript"/>
    </w:rPr>
  </w:style>
  <w:style w:type="character" w:customStyle="1" w:styleId="19">
    <w:name w:val="font21"/>
    <w:basedOn w:val="13"/>
    <w:qFormat/>
    <w:uiPriority w:val="0"/>
    <w:rPr>
      <w:rFonts w:hint="default" w:ascii="Tahoma" w:hAnsi="Tahoma" w:eastAsia="Tahoma" w:cs="Tahoma"/>
      <w:color w:val="000000"/>
      <w:sz w:val="24"/>
      <w:szCs w:val="24"/>
      <w:u w:val="none"/>
    </w:rPr>
  </w:style>
  <w:style w:type="character" w:customStyle="1" w:styleId="20">
    <w:name w:val="font81"/>
    <w:basedOn w:val="13"/>
    <w:qFormat/>
    <w:uiPriority w:val="0"/>
    <w:rPr>
      <w:rFonts w:hint="eastAsia" w:ascii="黑体" w:hAnsi="宋体" w:eastAsia="黑体" w:cs="黑体"/>
      <w:b/>
      <w:color w:val="000000"/>
      <w:sz w:val="32"/>
      <w:szCs w:val="32"/>
      <w:u w:val="none"/>
    </w:rPr>
  </w:style>
  <w:style w:type="character" w:customStyle="1" w:styleId="21">
    <w:name w:val="NormalCharacter"/>
    <w:qFormat/>
    <w:uiPriority w:val="0"/>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 w:type="paragraph" w:customStyle="1" w:styleId="2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16526</Words>
  <Characters>17491</Characters>
  <Paragraphs>115</Paragraphs>
  <TotalTime>3</TotalTime>
  <ScaleCrop>false</ScaleCrop>
  <LinksUpToDate>false</LinksUpToDate>
  <CharactersWithSpaces>17710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2020-05-18T18:03:00Z</dcterms:created>
  <dc:creator>啊啦嘎嘎</dc:creator>
  <cp:lastModifiedBy>♔   面对疾风吧</cp:lastModifiedBy>
  <cp:lastPrinted>2021-12-10T18:30:00Z</cp:lastPrinted>
  <dcterms:modified xsi:type="dcterms:W3CDTF">2023-04-14T08:45:07Z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SaveFontToCloudKey">
    <vt:lpwstr>228584615_btnclosed</vt:lpwstr>
  </property>
  <property fmtid="{D5CDD505-2E9C-101B-9397-08002B2CF9AE}" pid="4" name="ICV">
    <vt:lpwstr>D672927E09E243599AD0D0B070809120</vt:lpwstr>
  </property>
</Properties>
</file>