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jc w:val="center"/>
        <w:rPr>
          <w:rFonts w:hint="eastAsia" w:ascii="宋体" w:hAnsi="宋体" w:eastAsia="宋体" w:cs="宋体"/>
          <w:sz w:val="44"/>
          <w:szCs w:val="44"/>
        </w:rPr>
      </w:pPr>
      <w:bookmarkStart w:id="0" w:name="_GoBack"/>
      <w:bookmarkEnd w:id="0"/>
    </w:p>
    <w:p>
      <w:pPr>
        <w:pStyle w:val="6"/>
        <w:bidi w:val="0"/>
        <w:jc w:val="center"/>
        <w:rPr>
          <w:rFonts w:hint="eastAsia" w:ascii="宋体" w:hAnsi="宋体" w:eastAsia="宋体" w:cs="宋体"/>
          <w:b/>
          <w:bCs/>
          <w:sz w:val="44"/>
          <w:szCs w:val="44"/>
        </w:rPr>
      </w:pPr>
      <w:r>
        <w:rPr>
          <w:rFonts w:hint="eastAsia" w:ascii="宋体" w:hAnsi="宋体" w:eastAsia="宋体" w:cs="宋体"/>
          <w:b/>
          <w:bCs/>
          <w:sz w:val="44"/>
          <w:szCs w:val="44"/>
        </w:rPr>
        <w:t>巴彦淖尔市人民政府办公室关于印发《巴彦淖尔市参加自治区全运会获奖运动员和教练员奖励办法》的通知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945" w:lineRule="atLeast"/>
        <w:ind w:left="0" w:right="0" w:firstLine="0"/>
        <w:jc w:val="left"/>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各旗县区人民政府，市各有关部门：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《巴彦淖尔市参加自治区全运会获奖运动员和教练员奖励办法》已经市政府2021年第10次常务会议审议通过，现印发给你们，请遵照执行。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巴彦淖尔市人民政府办公室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2021年12月13日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b/>
          <w:bCs/>
          <w:i w:val="0"/>
          <w:iCs w:val="0"/>
          <w:caps w:val="0"/>
          <w:color w:val="2F2F2F"/>
          <w:spacing w:val="0"/>
          <w:kern w:val="0"/>
          <w:sz w:val="24"/>
          <w:szCs w:val="24"/>
          <w:shd w:val="clear" w:color="auto" w:fill="FFFFFF"/>
          <w:lang w:val="en-US" w:eastAsia="zh-CN" w:bidi="ar"/>
        </w:rPr>
        <w:t>巴彦淖尔市参加自治区全运会获奖运动员和教练员奖励办法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w:t>
      </w:r>
      <w:r>
        <w:rPr>
          <w:rFonts w:hint="eastAsia" w:ascii="微软雅黑" w:hAnsi="微软雅黑" w:eastAsia="微软雅黑" w:cs="微软雅黑"/>
          <w:b/>
          <w:bCs/>
          <w:i w:val="0"/>
          <w:iCs w:val="0"/>
          <w:caps w:val="0"/>
          <w:color w:val="2F2F2F"/>
          <w:spacing w:val="0"/>
          <w:kern w:val="0"/>
          <w:sz w:val="24"/>
          <w:szCs w:val="24"/>
          <w:shd w:val="clear" w:color="auto" w:fill="FFFFFF"/>
          <w:lang w:val="en-US" w:eastAsia="zh-CN" w:bidi="ar"/>
        </w:rPr>
        <w:t>第一条</w:t>
      </w: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为提升我市竞技体育综合实力，充分调动我市竞技体育运动员和教练员刻苦训练、奋勇拼搏的积极性，鼓励我市体育健儿在自治区全运会中取得优异成绩，根据《中华人民共和国体育法》《内蒙古自治区实施&lt;中华人民共和国体育法&gt;办法》《内蒙古自治区财政厅、体育局关于印发&lt;运动员教练员参加国际重大比赛和全运会取得成绩奖励办法&gt;的通知》（内财教〔2009〕1365号）等国家和自治区有关规定，结合我市实际，制定本奖励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w:t>
      </w:r>
      <w:r>
        <w:rPr>
          <w:rFonts w:hint="eastAsia" w:ascii="微软雅黑" w:hAnsi="微软雅黑" w:eastAsia="微软雅黑" w:cs="微软雅黑"/>
          <w:b/>
          <w:bCs/>
          <w:i w:val="0"/>
          <w:iCs w:val="0"/>
          <w:caps w:val="0"/>
          <w:color w:val="2F2F2F"/>
          <w:spacing w:val="0"/>
          <w:kern w:val="0"/>
          <w:sz w:val="24"/>
          <w:szCs w:val="24"/>
          <w:shd w:val="clear" w:color="auto" w:fill="FFFFFF"/>
          <w:lang w:val="en-US" w:eastAsia="zh-CN" w:bidi="ar"/>
        </w:rPr>
        <w:t>第二条</w:t>
      </w: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本办法适用于代表巴彦淖尔市参加每四年一届的内蒙古自治区运动会（以下简称自治区全运会）获得成绩的巴彦淖尔籍运动员和教练员。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w:t>
      </w:r>
      <w:r>
        <w:rPr>
          <w:rFonts w:hint="eastAsia" w:ascii="微软雅黑" w:hAnsi="微软雅黑" w:eastAsia="微软雅黑" w:cs="微软雅黑"/>
          <w:b/>
          <w:bCs/>
          <w:i w:val="0"/>
          <w:iCs w:val="0"/>
          <w:caps w:val="0"/>
          <w:color w:val="2F2F2F"/>
          <w:spacing w:val="0"/>
          <w:kern w:val="0"/>
          <w:sz w:val="24"/>
          <w:szCs w:val="24"/>
          <w:shd w:val="clear" w:color="auto" w:fill="FFFFFF"/>
          <w:lang w:val="en-US" w:eastAsia="zh-CN" w:bidi="ar"/>
        </w:rPr>
        <w:t>第三条</w:t>
      </w: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运动员、教练员奖励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（一）竞技体育项目奖励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1.凡获得个人比赛项目前三名的运动员，分别给予3万元、1万元、0.6万元的奖励。除前三名外，每得1分奖励200元。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2.集体项目运动员的奖励金额与个人项目相同，根据参赛人数平均发放。足球、篮球、排球等三倍计牌计分项目的运动员按个人项目同等名次奖励金额的300%给予奖励。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3.教练员的奖励，按其训练获奖运动员奖励金额的100%给予奖励，集体项目教练员的奖励金额与个人项目相同。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4.获奖运动员的现训教练员，训练该运动员时间不超过三个月的，不予评奖。如因教练员调整、参加集体项目等原因，获奖运动员的教练员超过两人的，只按一名教练员的奖金给予奖励，奖金分配根据执教情况和训练周期由教练员之间协商解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（二）群众体育项目奖励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1.凡获得个人比赛项目前三名的运动员，分别给予1万元、0.6万元、0.4万元的奖励。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2.获得团体、集体项目前三名的，分别给予2万元、1万元、0.6万元的奖励。奖励金额根据报名参加人数平均发放。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w:t>
      </w:r>
      <w:r>
        <w:rPr>
          <w:rFonts w:hint="eastAsia" w:ascii="微软雅黑" w:hAnsi="微软雅黑" w:eastAsia="微软雅黑" w:cs="微软雅黑"/>
          <w:b/>
          <w:bCs/>
          <w:i w:val="0"/>
          <w:iCs w:val="0"/>
          <w:caps w:val="0"/>
          <w:color w:val="2F2F2F"/>
          <w:spacing w:val="0"/>
          <w:kern w:val="0"/>
          <w:sz w:val="24"/>
          <w:szCs w:val="24"/>
          <w:shd w:val="clear" w:color="auto" w:fill="FFFFFF"/>
          <w:lang w:val="en-US" w:eastAsia="zh-CN" w:bidi="ar"/>
        </w:rPr>
        <w:t>第四条</w:t>
      </w: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对完成市政府下达比赛任务的组织单位采取精神奖励与物质奖励相结合的办法进行。根据各组织单位所承担任务的大小，由市政府授予“巴彦淖尔市参加全区第**届运动会贡献奖”“突出贡献奖”“特别贡献奖”等，并给予相应的物质奖励。奖励总经费控制在30万元以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w:t>
      </w:r>
      <w:r>
        <w:rPr>
          <w:rFonts w:hint="eastAsia" w:ascii="微软雅黑" w:hAnsi="微软雅黑" w:eastAsia="微软雅黑" w:cs="微软雅黑"/>
          <w:b/>
          <w:bCs/>
          <w:i w:val="0"/>
          <w:iCs w:val="0"/>
          <w:caps w:val="0"/>
          <w:color w:val="2F2F2F"/>
          <w:spacing w:val="0"/>
          <w:kern w:val="0"/>
          <w:sz w:val="24"/>
          <w:szCs w:val="24"/>
          <w:shd w:val="clear" w:color="auto" w:fill="FFFFFF"/>
          <w:lang w:val="en-US" w:eastAsia="zh-CN" w:bidi="ar"/>
        </w:rPr>
        <w:t>第五条</w:t>
      </w: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每届自治区全运会结束后，市体育局根据本办法规定提出具体奖励方案报市政府审核，经市政府同意后，奖励经费由市财政局按时如数拨付。奖金必须在比赛结束后3个月内兑现。以上奖金均指税前。</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w:t>
      </w:r>
      <w:r>
        <w:rPr>
          <w:rFonts w:hint="eastAsia" w:ascii="微软雅黑" w:hAnsi="微软雅黑" w:eastAsia="微软雅黑" w:cs="微软雅黑"/>
          <w:b/>
          <w:bCs/>
          <w:i w:val="0"/>
          <w:iCs w:val="0"/>
          <w:caps w:val="0"/>
          <w:color w:val="2F2F2F"/>
          <w:spacing w:val="0"/>
          <w:kern w:val="0"/>
          <w:sz w:val="24"/>
          <w:szCs w:val="24"/>
          <w:shd w:val="clear" w:color="auto" w:fill="FFFFFF"/>
          <w:lang w:val="en-US" w:eastAsia="zh-CN" w:bidi="ar"/>
        </w:rPr>
        <w:t>第六条</w:t>
      </w: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参加自治区少数民族运动会、残疾人运动会的获奖运动员和教练员，根据实际情况，可适当参照本办法执行。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w:t>
      </w:r>
      <w:r>
        <w:rPr>
          <w:rFonts w:hint="eastAsia" w:ascii="微软雅黑" w:hAnsi="微软雅黑" w:eastAsia="微软雅黑" w:cs="微软雅黑"/>
          <w:b/>
          <w:bCs/>
          <w:i w:val="0"/>
          <w:iCs w:val="0"/>
          <w:caps w:val="0"/>
          <w:color w:val="2F2F2F"/>
          <w:spacing w:val="0"/>
          <w:kern w:val="0"/>
          <w:sz w:val="24"/>
          <w:szCs w:val="24"/>
          <w:shd w:val="clear" w:color="auto" w:fill="FFFFFF"/>
          <w:lang w:val="en-US" w:eastAsia="zh-CN" w:bidi="ar"/>
        </w:rPr>
        <w:t>第七条</w:t>
      </w: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本办法由市体育局负责解释。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2F2F2F"/>
          <w:spacing w:val="0"/>
          <w:sz w:val="24"/>
          <w:szCs w:val="24"/>
        </w:rPr>
      </w:pP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w:t>
      </w:r>
      <w:r>
        <w:rPr>
          <w:rFonts w:hint="eastAsia" w:ascii="微软雅黑" w:hAnsi="微软雅黑" w:eastAsia="微软雅黑" w:cs="微软雅黑"/>
          <w:b/>
          <w:bCs/>
          <w:i w:val="0"/>
          <w:iCs w:val="0"/>
          <w:caps w:val="0"/>
          <w:color w:val="2F2F2F"/>
          <w:spacing w:val="0"/>
          <w:kern w:val="0"/>
          <w:sz w:val="24"/>
          <w:szCs w:val="24"/>
          <w:shd w:val="clear" w:color="auto" w:fill="FFFFFF"/>
          <w:lang w:val="en-US" w:eastAsia="zh-CN" w:bidi="ar"/>
        </w:rPr>
        <w:t>第八条</w:t>
      </w:r>
      <w:r>
        <w:rPr>
          <w:rFonts w:hint="eastAsia" w:ascii="微软雅黑" w:hAnsi="微软雅黑" w:eastAsia="微软雅黑" w:cs="微软雅黑"/>
          <w:i w:val="0"/>
          <w:iCs w:val="0"/>
          <w:caps w:val="0"/>
          <w:color w:val="2F2F2F"/>
          <w:spacing w:val="0"/>
          <w:kern w:val="0"/>
          <w:sz w:val="24"/>
          <w:szCs w:val="24"/>
          <w:shd w:val="clear" w:color="auto" w:fill="FFFFFF"/>
          <w:lang w:val="en-US" w:eastAsia="zh-CN" w:bidi="ar"/>
        </w:rPr>
        <w:t>  本办法自颁布之日起30日后施行。</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242FEA"/>
    <w:multiLevelType w:val="multilevel"/>
    <w:tmpl w:val="DE242FEA"/>
    <w:lvl w:ilvl="0" w:tentative="0">
      <w:start w:val="1"/>
      <w:numFmt w:val="decimal"/>
      <w:pStyle w:val="2"/>
      <w:lvlText w:val="%1"/>
      <w:lvlJc w:val="left"/>
      <w:pPr>
        <w:tabs>
          <w:tab w:val="left" w:pos="567"/>
        </w:tabs>
        <w:ind w:left="635" w:hanging="425"/>
      </w:pPr>
      <w:rPr>
        <w:rFonts w:hint="eastAsia"/>
      </w:rPr>
    </w:lvl>
    <w:lvl w:ilvl="1" w:tentative="0">
      <w:start w:val="1"/>
      <w:numFmt w:val="decimal"/>
      <w:pStyle w:val="3"/>
      <w:lvlText w:val="%1.%2"/>
      <w:lvlJc w:val="left"/>
      <w:pPr>
        <w:tabs>
          <w:tab w:val="left" w:pos="1418"/>
        </w:tabs>
        <w:ind w:left="1486" w:hanging="992"/>
      </w:pPr>
      <w:rPr>
        <w:rFonts w:hint="eastAsia"/>
      </w:rPr>
    </w:lvl>
    <w:lvl w:ilvl="2" w:tentative="0">
      <w:start w:val="1"/>
      <w:numFmt w:val="decimal"/>
      <w:pStyle w:val="4"/>
      <w:lvlText w:val="%1.%2.%3"/>
      <w:lvlJc w:val="left"/>
      <w:pPr>
        <w:tabs>
          <w:tab w:val="left" w:pos="141"/>
        </w:tabs>
        <w:ind w:left="1627" w:hanging="1418"/>
      </w:pPr>
      <w:rPr>
        <w:rFonts w:hint="eastAsia"/>
      </w:rPr>
    </w:lvl>
    <w:lvl w:ilvl="3" w:tentative="0">
      <w:start w:val="1"/>
      <w:numFmt w:val="decimal"/>
      <w:pStyle w:val="5"/>
      <w:lvlText w:val="%1.%2.%3.%4"/>
      <w:lvlJc w:val="left"/>
      <w:pPr>
        <w:tabs>
          <w:tab w:val="left" w:pos="0"/>
        </w:tabs>
        <w:ind w:left="3520" w:hanging="3604"/>
      </w:pPr>
    </w:lvl>
    <w:lvl w:ilvl="4" w:tentative="0">
      <w:start w:val="1"/>
      <w:numFmt w:val="decimal"/>
      <w:lvlText w:val="%1.%2.%3.%4.%5"/>
      <w:lvlJc w:val="left"/>
      <w:pPr>
        <w:tabs>
          <w:tab w:val="left" w:pos="4558"/>
        </w:tabs>
        <w:ind w:left="4036" w:hanging="3685"/>
      </w:pPr>
    </w:lvl>
    <w:lvl w:ilvl="5" w:tentative="0">
      <w:start w:val="1"/>
      <w:numFmt w:val="decimal"/>
      <w:lvlText w:val="%1.%2.%3.%4.%5.%6"/>
      <w:lvlJc w:val="left"/>
      <w:pPr>
        <w:tabs>
          <w:tab w:val="left" w:pos="3566"/>
        </w:tabs>
        <w:ind w:left="3328" w:hanging="1134"/>
      </w:pPr>
      <w:rPr>
        <w:rFonts w:hint="eastAsia"/>
      </w:rPr>
    </w:lvl>
    <w:lvl w:ilvl="6" w:tentative="0">
      <w:start w:val="1"/>
      <w:numFmt w:val="decimal"/>
      <w:lvlText w:val="%1.%2.%3.%4.%5.%6.%7"/>
      <w:lvlJc w:val="left"/>
      <w:pPr>
        <w:tabs>
          <w:tab w:val="left" w:pos="4351"/>
        </w:tabs>
        <w:ind w:left="3895" w:hanging="1276"/>
      </w:pPr>
      <w:rPr>
        <w:rFonts w:hint="eastAsia"/>
      </w:rPr>
    </w:lvl>
    <w:lvl w:ilvl="7" w:tentative="0">
      <w:start w:val="1"/>
      <w:numFmt w:val="decimal"/>
      <w:lvlText w:val="%1.%2.%3.%4.%5.%6.%7.%8"/>
      <w:lvlJc w:val="left"/>
      <w:pPr>
        <w:tabs>
          <w:tab w:val="left" w:pos="4776"/>
        </w:tabs>
        <w:ind w:left="4462" w:hanging="1418"/>
      </w:pPr>
      <w:rPr>
        <w:rFonts w:hint="eastAsia"/>
      </w:rPr>
    </w:lvl>
    <w:lvl w:ilvl="8" w:tentative="0">
      <w:start w:val="1"/>
      <w:numFmt w:val="decimal"/>
      <w:lvlText w:val="%1.%2.%3.%4.%5.%6.%7.%8.%9"/>
      <w:lvlJc w:val="left"/>
      <w:pPr>
        <w:tabs>
          <w:tab w:val="left" w:pos="5562"/>
        </w:tabs>
        <w:ind w:left="5170"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507F9A"/>
    <w:rsid w:val="00057882"/>
    <w:rsid w:val="1BA44143"/>
    <w:rsid w:val="2A507F9A"/>
    <w:rsid w:val="470C1D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635" w:hanging="425"/>
      <w:outlineLvl w:val="0"/>
    </w:pPr>
    <w:rPr>
      <w:b/>
      <w:kern w:val="44"/>
      <w:sz w:val="44"/>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1486" w:hanging="992"/>
      <w:outlineLvl w:val="1"/>
    </w:pPr>
    <w:rPr>
      <w:rFonts w:ascii="Arial" w:hAnsi="Arial" w:eastAsia="黑体"/>
      <w:b/>
      <w:sz w:val="32"/>
    </w:rPr>
  </w:style>
  <w:style w:type="paragraph" w:styleId="4">
    <w:name w:val="heading 3"/>
    <w:next w:val="1"/>
    <w:unhideWhenUsed/>
    <w:qFormat/>
    <w:uiPriority w:val="0"/>
    <w:pPr>
      <w:keepNext/>
      <w:keepLines/>
      <w:widowControl w:val="0"/>
      <w:numPr>
        <w:ilvl w:val="2"/>
        <w:numId w:val="1"/>
      </w:numPr>
      <w:shd w:val="pct5" w:color="auto" w:fill="auto"/>
      <w:tabs>
        <w:tab w:val="left" w:leader="dot" w:pos="0"/>
        <w:tab w:val="left" w:pos="210"/>
        <w:tab w:val="left" w:pos="425"/>
        <w:tab w:val="left" w:pos="1560"/>
        <w:tab w:val="left" w:pos="3283"/>
        <w:tab w:val="left" w:pos="4558"/>
        <w:tab w:val="clear" w:pos="141"/>
      </w:tabs>
      <w:adjustRightInd w:val="0"/>
      <w:spacing w:line="0" w:lineRule="atLeast"/>
      <w:ind w:left="1417" w:hanging="1417"/>
      <w:jc w:val="both"/>
      <w:outlineLvl w:val="2"/>
    </w:pPr>
    <w:rPr>
      <w:rFonts w:ascii="Calibri" w:hAnsi="Calibri" w:eastAsia="宋体" w:cs="Times New Roman"/>
      <w:b/>
      <w:bCs/>
      <w:sz w:val="32"/>
      <w:szCs w:val="32"/>
      <w:shd w:val="pct5" w:color="auto" w:fill="auto"/>
      <w:lang w:val="en-US" w:eastAsia="zh-CN" w:bidi="ar-SA"/>
    </w:rPr>
  </w:style>
  <w:style w:type="paragraph" w:styleId="5">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left="3520" w:hanging="3604"/>
      <w:outlineLvl w:val="3"/>
    </w:pPr>
    <w:rPr>
      <w:rFonts w:ascii="Arial" w:hAnsi="Arial" w:eastAsia="黑体"/>
      <w:b/>
      <w:sz w:val="28"/>
    </w:rPr>
  </w:style>
  <w:style w:type="character" w:default="1" w:styleId="8">
    <w:name w:val="Default Paragraph Font"/>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6">
    <w:name w:val="Normal (Web)"/>
    <w:basedOn w:val="1"/>
    <w:uiPriority w:val="0"/>
    <w:rPr>
      <w:sz w:val="24"/>
    </w:rPr>
  </w:style>
  <w:style w:type="character" w:styleId="9">
    <w:name w:val="Emphasis"/>
    <w:basedOn w:val="8"/>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2022-11-18T06:41:00Z</dcterms:created>
  <dc:creator>seeyon</dc:creator>
  <cp:lastModifiedBy>seeyon</cp:lastModifiedBy>
  <dcterms:modified xsi:type="dcterms:W3CDTF">2022-11-18T06:59:33Z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